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b/>
          <w:bCs/>
          <w:color w:val="0A1628"/>
          <w:sz w:val="24"/>
          <w:szCs w:val="24"/>
        </w:rPr>
        <w:t xml:space="preserve">Decile Capital — Premier II</w:t>
      </w:r>
    </w:p>
    <w:p>
      <w:pPr>
        <w:spacing w:after="80"/>
        <w:jc w:val="center"/>
      </w:pPr>
      <w:r>
        <w:rPr>
          <w:rFonts w:ascii="Arial" w:cs="Arial" w:eastAsia="Arial" w:hAnsi="Arial"/>
          <w:b/>
          <w:bCs/>
          <w:color w:val="0066CC"/>
          <w:sz w:val="44"/>
          <w:szCs w:val="44"/>
        </w:rPr>
        <w:t xml:space="preserve">Process and Decision Making</w:t>
      </w:r>
    </w:p>
    <w:p>
      <w:pPr>
        <w:spacing w:after="80"/>
        <w:jc w:val="center"/>
      </w:pPr>
      <w:r>
        <w:rPr>
          <w:rFonts w:ascii="Arial" w:cs="Arial" w:eastAsia="Arial" w:hAnsi="Arial"/>
          <w:color w:val="6B7280"/>
          <w:sz w:val="22"/>
          <w:szCs w:val="22"/>
        </w:rPr>
        <w:t xml:space="preserve">Fund Selection · Co-Investment · Satellite Sleeve</w:t>
      </w:r>
    </w:p>
    <w:p>
      <w:pPr>
        <w:spacing w:after="80"/>
        <w:jc w:val="center"/>
      </w:pPr>
      <w:r>
        <w:rPr>
          <w:rFonts w:ascii="Arial" w:cs="Arial" w:eastAsia="Arial" w:hAnsi="Arial"/>
          <w:i/>
          <w:iCs/>
          <w:color w:val="6B7280"/>
          <w:sz w:val="18"/>
          <w:szCs w:val="18"/>
        </w:rPr>
        <w:t xml:space="preserve">2025 · Strictly Confidential · Internal Use</w:t>
      </w:r>
    </w:p>
    <w:p>
      <w:r>
        <w:br w:type="page"/>
      </w:r>
    </w:p>
    <w:p>
      <w:pPr>
        <w:spacing w:after="80" w:before="280"/>
      </w:pPr>
      <w:r>
        <w:rPr>
          <w:rFonts w:ascii="Arial" w:cs="Arial" w:eastAsia="Arial" w:hAnsi="Arial"/>
          <w:b/>
          <w:bCs/>
          <w:color w:val="0066CC"/>
          <w:sz w:val="16"/>
          <w:szCs w:val="16"/>
        </w:rPr>
        <w:t xml:space="preserve">SECTION 1</w:t>
      </w:r>
    </w:p>
    <w:p>
      <w:pPr>
        <w:spacing w:after="120" w:before="320"/>
      </w:pPr>
      <w:r>
        <w:rPr>
          <w:rFonts w:ascii="Arial" w:cs="Arial" w:eastAsia="Arial" w:hAnsi="Arial"/>
          <w:b/>
          <w:bCs/>
          <w:color w:val="0A1628"/>
          <w:sz w:val="32"/>
          <w:szCs w:val="32"/>
        </w:rPr>
        <w:t xml:space="preserve">Sourcing and Screening</w:t>
      </w:r>
    </w:p>
    <w:p>
      <w:pPr>
        <w:pBdr>
          <w:bottom w:val="single" w:color="0066CC" w:sz="8" w:space="1"/>
        </w:pBdr>
        <w:spacing w:after="180" w:before="60"/>
      </w:pPr>
    </w:p>
    <w:p>
      <w:pPr>
        <w:spacing w:after="80" w:before="160"/>
      </w:pPr>
      <w:r>
        <w:rPr>
          <w:rFonts w:ascii="Arial" w:cs="Arial" w:eastAsia="Arial" w:hAnsi="Arial"/>
          <w:b/>
          <w:bCs/>
          <w:color w:val="0066CC"/>
          <w:sz w:val="20"/>
          <w:szCs w:val="20"/>
        </w:rPr>
        <w:t xml:space="preserve">1.1 Sourcing Stage</w:t>
      </w:r>
    </w:p>
    <w:p>
      <w:pPr>
        <w:spacing w:after="120"/>
        <w:jc w:val="both"/>
      </w:pPr>
      <w:r>
        <w:rPr>
          <w:rFonts w:ascii="Arial" w:cs="Arial" w:eastAsia="Arial" w:hAnsi="Arial"/>
          <w:color w:val="1F2937"/>
          <w:sz w:val="20"/>
          <w:szCs w:val="20"/>
        </w:rPr>
        <w:t xml:space="preserve">Funds are sourced through four complementary channels:</w:t>
      </w:r>
    </w:p>
    <w:p>
      <w:pPr>
        <w:pStyle w:val="ListParagraph"/>
        <w:numPr>
          <w:ilvl w:val="0"/>
          <w:numId w:val="2"/>
        </w:numPr>
        <w:spacing w:after="80"/>
        <w:ind w:left="720" w:hanging="360"/>
      </w:pPr>
      <w:r>
        <w:rPr>
          <w:rFonts w:ascii="Arial" w:cs="Arial" w:eastAsia="Arial" w:hAnsi="Arial"/>
          <w:color w:val="374151"/>
          <w:sz w:val="20"/>
          <w:szCs w:val="20"/>
        </w:rPr>
        <w:t xml:space="preserve">Active outbound engagement — Premier II contacts managers outside their fundraising periods, building relationships 12–18 months before the raise opens. By the time a target manager opens their fundraise, Premier has typically observed real behavior without the performance layer fundraising introduces. Allocation is secured before competition begins.</w:t>
      </w:r>
    </w:p>
    <w:p>
      <w:pPr>
        <w:pStyle w:val="ListParagraph"/>
        <w:numPr>
          <w:ilvl w:val="0"/>
          <w:numId w:val="2"/>
        </w:numPr>
        <w:spacing w:after="80"/>
        <w:ind w:left="720" w:hanging="360"/>
      </w:pPr>
      <w:r>
        <w:rPr>
          <w:rFonts w:ascii="Arial" w:cs="Arial" w:eastAsia="Arial" w:hAnsi="Arial"/>
          <w:color w:val="374151"/>
          <w:sz w:val="20"/>
          <w:szCs w:val="20"/>
        </w:rPr>
        <w:t xml:space="preserve">Premier I validated GP network — top-performing Premier I managers raising follow-on funds, evaluated with 3–4 years of observed deployment behavior. First-fund commitment buys observation rights; second-fund commitment is made with full knowledge of the GP’s judgment, communication style, and co-investment behavior. This is the highest-quality diligence input available.</w:t>
      </w:r>
    </w:p>
    <w:p>
      <w:pPr>
        <w:pStyle w:val="ListParagraph"/>
        <w:numPr>
          <w:ilvl w:val="0"/>
          <w:numId w:val="2"/>
        </w:numPr>
        <w:spacing w:after="80"/>
        <w:ind w:left="720" w:hanging="360"/>
      </w:pPr>
      <w:r>
        <w:rPr>
          <w:rFonts w:ascii="Arial" w:cs="Arial" w:eastAsia="Arial" w:hAnsi="Arial"/>
          <w:color w:val="374151"/>
          <w:sz w:val="20"/>
          <w:szCs w:val="20"/>
        </w:rPr>
        <w:t xml:space="preserve">Systematic AI-driven pipeline — Blue Moon Ventures’ Agatha agent sources 20,000+ companies annually, surfacing co-investment opportunities alongside fund selection. This channel provides deal flow at a scale no human team can replicate and is the primary sourcing engine for the satellite sleeve.</w:t>
      </w:r>
    </w:p>
    <w:p>
      <w:pPr>
        <w:pStyle w:val="ListParagraph"/>
        <w:numPr>
          <w:ilvl w:val="0"/>
          <w:numId w:val="2"/>
        </w:numPr>
        <w:spacing w:after="80"/>
        <w:ind w:left="720" w:hanging="360"/>
      </w:pPr>
      <w:r>
        <w:rPr>
          <w:rFonts w:ascii="Arial" w:cs="Arial" w:eastAsia="Arial" w:hAnsi="Arial"/>
          <w:color w:val="374151"/>
          <w:sz w:val="20"/>
          <w:szCs w:val="20"/>
        </w:rPr>
        <w:t xml:space="preserve">VC Lab network, Decile platform GP relationships, LP Institute referrals, and industry introductions. All sourcing channels are evaluated against the same selection criteria regardless of origin.</w:t>
      </w:r>
    </w:p>
    <w:p>
      <w:pPr>
        <w:spacing w:after="100"/>
      </w:pPr>
      <w:r>
        <w:t xml:space="preserve"/>
      </w:r>
    </w:p>
    <w:p>
      <w:pPr>
        <w:spacing w:after="80" w:before="160"/>
      </w:pPr>
      <w:r>
        <w:rPr>
          <w:rFonts w:ascii="Arial" w:cs="Arial" w:eastAsia="Arial" w:hAnsi="Arial"/>
          <w:b/>
          <w:bCs/>
          <w:color w:val="0066CC"/>
          <w:sz w:val="20"/>
          <w:szCs w:val="20"/>
        </w:rPr>
        <w:t xml:space="preserve">1.2 Screening Stage</w:t>
      </w:r>
    </w:p>
    <w:p>
      <w:pPr>
        <w:spacing w:after="120"/>
        <w:jc w:val="both"/>
      </w:pPr>
      <w:r>
        <w:rPr>
          <w:rFonts w:ascii="Arial" w:cs="Arial" w:eastAsia="Arial" w:hAnsi="Arial"/>
          <w:color w:val="1F2937"/>
          <w:sz w:val="20"/>
          <w:szCs w:val="20"/>
        </w:rPr>
        <w:t xml:space="preserve">At the screening stage, Decile Capital conducts a high-level screening analysis to evaluate potential investment opportunities, summarized in a short memo. The analysis is based on a Deal Memo prepared by Decile Partners.</w:t>
      </w:r>
    </w:p>
    <w:p>
      <w:pPr>
        <w:spacing w:after="120"/>
        <w:jc w:val="both"/>
      </w:pPr>
      <w:r>
        <w:rPr>
          <w:rFonts w:ascii="Arial" w:cs="Arial" w:eastAsia="Arial" w:hAnsi="Arial"/>
          <w:color w:val="1F2937"/>
          <w:sz w:val="20"/>
          <w:szCs w:val="20"/>
        </w:rPr>
        <w:t xml:space="preserve">For Premier II, the screening memo also evaluates the fund’s co-investment program — volume, fee structure, allocation priority, and deal flow quality. Every Premier II fund commitment must excel in at least one of three dimensions: volume (high deal flow, active co-investment program), quality (proven GP judgment validated through prior observation), or proprietary access (closed-ecosystem deal flow unavailable to generalist investors). Funds that do not demonstrate strength in at least one of these dimensions are deprioritized regardless of other merits.</w:t>
      </w:r>
    </w:p>
    <w:p>
      <w:pPr>
        <w:spacing w:after="100"/>
      </w:pPr>
      <w:r>
        <w:t xml:space="preserve"/>
      </w:r>
    </w:p>
    <w:p>
      <w:pPr>
        <w:spacing w:after="80" w:before="160"/>
      </w:pPr>
      <w:r>
        <w:rPr>
          <w:rFonts w:ascii="Arial" w:cs="Arial" w:eastAsia="Arial" w:hAnsi="Arial"/>
          <w:b/>
          <w:bCs/>
          <w:color w:val="0066CC"/>
          <w:sz w:val="20"/>
          <w:szCs w:val="20"/>
        </w:rPr>
        <w:t xml:space="preserve">1.3 Progressing to Due Diligence Stage</w:t>
      </w:r>
    </w:p>
    <w:p>
      <w:pPr>
        <w:spacing w:after="120"/>
        <w:jc w:val="both"/>
      </w:pPr>
      <w:r>
        <w:rPr>
          <w:rFonts w:ascii="Arial" w:cs="Arial" w:eastAsia="Arial" w:hAnsi="Arial"/>
          <w:color w:val="1F2937"/>
          <w:sz w:val="20"/>
          <w:szCs w:val="20"/>
        </w:rPr>
        <w:t xml:space="preserve">A screening memo will be circulated to the Investment Committee. Based on the team’s recommendations and ensuing discussions, the IC will instruct the team on which funds should progress to the due diligence stage.</w:t>
      </w:r>
    </w:p>
    <w:p>
      <w:pPr>
        <w:spacing w:after="100"/>
      </w:pPr>
      <w:r>
        <w:t xml:space="preserve"/>
      </w:r>
    </w:p>
    <w:p>
      <w:r>
        <w:br w:type="page"/>
      </w:r>
    </w:p>
    <w:p>
      <w:pPr>
        <w:spacing w:after="80" w:before="280"/>
      </w:pPr>
      <w:r>
        <w:rPr>
          <w:rFonts w:ascii="Arial" w:cs="Arial" w:eastAsia="Arial" w:hAnsi="Arial"/>
          <w:b/>
          <w:bCs/>
          <w:color w:val="0066CC"/>
          <w:sz w:val="16"/>
          <w:szCs w:val="16"/>
        </w:rPr>
        <w:t xml:space="preserve">SECTION 2</w:t>
      </w:r>
    </w:p>
    <w:p>
      <w:pPr>
        <w:spacing w:after="120" w:before="320"/>
      </w:pPr>
      <w:r>
        <w:rPr>
          <w:rFonts w:ascii="Arial" w:cs="Arial" w:eastAsia="Arial" w:hAnsi="Arial"/>
          <w:b/>
          <w:bCs/>
          <w:color w:val="0A1628"/>
          <w:sz w:val="32"/>
          <w:szCs w:val="32"/>
        </w:rPr>
        <w:t xml:space="preserve">Due Diligence</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The due diligence stage is the most analytical and rigorous step in the fund selection process. The fund manager typically provides detailed information through a secure online platform known as a “fund data room.” This may include financial statements, legal documents, investment strategies, operational details, and other pertinent information.</w:t>
      </w:r>
    </w:p>
    <w:p>
      <w:pPr>
        <w:spacing w:after="100"/>
      </w:pPr>
      <w:r>
        <w:t xml:space="preserve"/>
      </w:r>
    </w:p>
    <w:p>
      <w:pPr>
        <w:spacing w:after="80" w:before="160"/>
      </w:pPr>
      <w:r>
        <w:rPr>
          <w:rFonts w:ascii="Arial" w:cs="Arial" w:eastAsia="Arial" w:hAnsi="Arial"/>
          <w:b/>
          <w:bCs/>
          <w:color w:val="0066CC"/>
          <w:sz w:val="20"/>
          <w:szCs w:val="20"/>
        </w:rPr>
        <w:t xml:space="preserve">2.1 Manager &amp; Team Overview</w:t>
      </w:r>
    </w:p>
    <w:p>
      <w:pPr>
        <w:spacing w:after="120"/>
        <w:jc w:val="both"/>
      </w:pPr>
      <w:r>
        <w:rPr>
          <w:rFonts w:ascii="Arial" w:cs="Arial" w:eastAsia="Arial" w:hAnsi="Arial"/>
          <w:color w:val="1F2937"/>
          <w:sz w:val="20"/>
          <w:szCs w:val="20"/>
        </w:rPr>
        <w:t xml:space="preserve">By combining quantitative analysis with qualitative assessments through reference calls and face-to-face meetings, Decile Capital aims to form a holistic understanding of the investment team. This approach acknowledges the importance of both tangible and intangible factors in making well-informed investment decisions.</w:t>
      </w:r>
    </w:p>
    <w:p>
      <w:pPr>
        <w:spacing w:after="120"/>
        <w:jc w:val="both"/>
      </w:pPr>
      <w:r>
        <w:rPr>
          <w:rFonts w:ascii="Arial" w:cs="Arial" w:eastAsia="Arial" w:hAnsi="Arial"/>
          <w:color w:val="1F2937"/>
          <w:sz w:val="20"/>
          <w:szCs w:val="20"/>
        </w:rPr>
        <w:t xml:space="preserve">Where possible, Decile Capital engages managers off-cycle — before the fundraise formally opens — to observe GP behavior without the performance layer that fundraising inevitably introduces. Off-cycle conversations reveal how the GP communicates about portfolio companies under pressure, how they handle LP relationships, and whether their conviction is consistent with their thesis over time. This observed behavior is treated as a distinct and high-quality diligence input alongside formal reference calls and face-to-face meetings.</w:t>
      </w:r>
    </w:p>
    <w:p>
      <w:pPr>
        <w:spacing w:after="100"/>
      </w:pPr>
      <w:r>
        <w:t xml:space="preserve"/>
      </w:r>
    </w:p>
    <w:p>
      <w:pPr>
        <w:spacing w:after="80" w:before="160"/>
      </w:pPr>
      <w:r>
        <w:rPr>
          <w:rFonts w:ascii="Arial" w:cs="Arial" w:eastAsia="Arial" w:hAnsi="Arial"/>
          <w:b/>
          <w:bCs/>
          <w:color w:val="0066CC"/>
          <w:sz w:val="20"/>
          <w:szCs w:val="20"/>
        </w:rPr>
        <w:t xml:space="preserve">2.2 Investment Strategy</w:t>
      </w:r>
    </w:p>
    <w:p>
      <w:pPr>
        <w:spacing w:after="120"/>
        <w:jc w:val="both"/>
      </w:pPr>
      <w:r>
        <w:rPr>
          <w:rFonts w:ascii="Arial" w:cs="Arial" w:eastAsia="Arial" w:hAnsi="Arial"/>
          <w:color w:val="1F2937"/>
          <w:sz w:val="20"/>
          <w:szCs w:val="20"/>
        </w:rPr>
        <w:t xml:space="preserve">Decile Capital’s preference is for a clear, focused, and well-thought-out investment strategy and process, consistent with best practices in the investment industry. A robust strategy and process are critical for achieving consistent and sustainable investment performance.</w:t>
      </w:r>
    </w:p>
    <w:p>
      <w:pPr>
        <w:spacing w:after="100"/>
      </w:pPr>
      <w:r>
        <w:t xml:space="preserve"/>
      </w:r>
    </w:p>
    <w:p>
      <w:pPr>
        <w:spacing w:after="80" w:before="160"/>
      </w:pPr>
      <w:r>
        <w:rPr>
          <w:rFonts w:ascii="Arial" w:cs="Arial" w:eastAsia="Arial" w:hAnsi="Arial"/>
          <w:b/>
          <w:bCs/>
          <w:color w:val="0066CC"/>
          <w:sz w:val="20"/>
          <w:szCs w:val="20"/>
        </w:rPr>
        <w:t xml:space="preserve">2.3 Track Record</w:t>
      </w:r>
    </w:p>
    <w:p>
      <w:pPr>
        <w:spacing w:after="120"/>
        <w:jc w:val="both"/>
      </w:pPr>
      <w:r>
        <w:rPr>
          <w:rFonts w:ascii="Arial" w:cs="Arial" w:eastAsia="Arial" w:hAnsi="Arial"/>
          <w:color w:val="1F2937"/>
          <w:sz w:val="20"/>
          <w:szCs w:val="20"/>
        </w:rPr>
        <w:t xml:space="preserve">Given the unique challenges of data transparency in private markets, a diligent and proactive approach to performance calculation verification is crucial. Track record analysis uses a three-tier data hierarchy:</w:t>
      </w:r>
    </w:p>
    <w:p>
      <w:pPr>
        <w:pStyle w:val="ListParagraph"/>
        <w:numPr>
          <w:ilvl w:val="0"/>
          <w:numId w:val="2"/>
        </w:numPr>
        <w:spacing w:after="80"/>
        <w:ind w:left="720" w:hanging="360"/>
      </w:pPr>
      <w:r>
        <w:rPr>
          <w:rFonts w:ascii="Arial" w:cs="Arial" w:eastAsia="Arial" w:hAnsi="Arial"/>
          <w:color w:val="374151"/>
          <w:sz w:val="20"/>
          <w:szCs w:val="20"/>
        </w:rPr>
        <w:t xml:space="preserve">Tier 1 — Administrator-verified financial statements: highest reliability, used for base TVPI and MOIC. These are the primary reference for any reported performance figure.</w:t>
      </w:r>
    </w:p>
    <w:p>
      <w:pPr>
        <w:pStyle w:val="ListParagraph"/>
        <w:numPr>
          <w:ilvl w:val="0"/>
          <w:numId w:val="2"/>
        </w:numPr>
        <w:spacing w:after="80"/>
        <w:ind w:left="720" w:hanging="360"/>
      </w:pPr>
      <w:r>
        <w:rPr>
          <w:rFonts w:ascii="Arial" w:cs="Arial" w:eastAsia="Arial" w:hAnsi="Arial"/>
          <w:color w:val="374151"/>
          <w:sz w:val="20"/>
          <w:szCs w:val="20"/>
        </w:rPr>
        <w:t xml:space="preserve">Tier 2 — Underlying fund financial statements: same standard as Tier 1, used for pro-rata position calculation and GP-level performance benchmarking.</w:t>
      </w:r>
    </w:p>
    <w:p>
      <w:pPr>
        <w:pStyle w:val="ListParagraph"/>
        <w:numPr>
          <w:ilvl w:val="0"/>
          <w:numId w:val="2"/>
        </w:numPr>
        <w:spacing w:after="80"/>
        <w:ind w:left="720" w:hanging="360"/>
      </w:pPr>
      <w:r>
        <w:rPr>
          <w:rFonts w:ascii="Arial" w:cs="Arial" w:eastAsia="Arial" w:hAnsi="Arial"/>
          <w:color w:val="374151"/>
          <w:sz w:val="20"/>
          <w:szCs w:val="20"/>
        </w:rPr>
        <w:t xml:space="preserve">Tier 3 — GP communications including LP letters, emails, and data room materials: treated as indicative and flagged as unaudited where used. Cap-adjusted TVPI incorporating GP-reported SAFE marks is reported separately from base TVPI with explicit sourcing disclosure.</w:t>
      </w:r>
    </w:p>
    <w:p>
      <w:pPr>
        <w:spacing w:after="120"/>
        <w:jc w:val="both"/>
      </w:pPr>
      <w:r>
        <w:rPr>
          <w:rFonts w:ascii="Arial" w:cs="Arial" w:eastAsia="Arial" w:hAnsi="Arial"/>
          <w:color w:val="1F2937"/>
          <w:sz w:val="20"/>
          <w:szCs w:val="20"/>
        </w:rPr>
        <w:t xml:space="preserve">This hierarchy enhances the accuracy of decision-making and instills confidence among investors by demonstrating a commitment to data integrity and accountability.</w:t>
      </w:r>
    </w:p>
    <w:p>
      <w:pPr>
        <w:spacing w:after="100"/>
      </w:pPr>
      <w:r>
        <w:t xml:space="preserve"/>
      </w:r>
    </w:p>
    <w:p>
      <w:pPr>
        <w:spacing w:after="80" w:before="160"/>
      </w:pPr>
      <w:r>
        <w:rPr>
          <w:rFonts w:ascii="Arial" w:cs="Arial" w:eastAsia="Arial" w:hAnsi="Arial"/>
          <w:b/>
          <w:bCs/>
          <w:color w:val="0066CC"/>
          <w:sz w:val="20"/>
          <w:szCs w:val="20"/>
        </w:rPr>
        <w:t xml:space="preserve">2.4 Terms</w:t>
      </w:r>
    </w:p>
    <w:p>
      <w:pPr>
        <w:spacing w:after="120"/>
        <w:jc w:val="both"/>
      </w:pPr>
      <w:r>
        <w:rPr>
          <w:rFonts w:ascii="Arial" w:cs="Arial" w:eastAsia="Arial" w:hAnsi="Arial"/>
          <w:color w:val="1F2937"/>
          <w:sz w:val="20"/>
          <w:szCs w:val="20"/>
        </w:rPr>
        <w:t xml:space="preserve">Decile Capital focuses on investing in funds with fair, transparent, and straightforward terms. This approach aligns with industry best practices and reflects a commitment to ethical and responsible investment principles.</w:t>
      </w:r>
    </w:p>
    <w:p>
      <w:pPr>
        <w:spacing w:after="120"/>
        <w:jc w:val="both"/>
      </w:pPr>
      <w:r>
        <w:rPr>
          <w:rFonts w:ascii="Arial" w:cs="Arial" w:eastAsia="Arial" w:hAnsi="Arial"/>
          <w:color w:val="1F2937"/>
          <w:sz w:val="20"/>
          <w:szCs w:val="20"/>
        </w:rPr>
        <w:t xml:space="preserve">For Premier II, term evaluation includes specific assessment of co-investment economics:</w:t>
      </w:r>
    </w:p>
    <w:p>
      <w:pPr>
        <w:pStyle w:val="ListParagraph"/>
        <w:numPr>
          <w:ilvl w:val="0"/>
          <w:numId w:val="2"/>
        </w:numPr>
        <w:spacing w:after="80"/>
        <w:ind w:left="720" w:hanging="360"/>
      </w:pPr>
      <w:r>
        <w:rPr>
          <w:rFonts w:ascii="Arial" w:cs="Arial" w:eastAsia="Arial" w:hAnsi="Arial"/>
          <w:color w:val="374151"/>
          <w:sz w:val="20"/>
          <w:szCs w:val="20"/>
        </w:rPr>
        <w:t xml:space="preserve">Is co-investment offered to all LPs or only above a certain commitment size?</w:t>
      </w:r>
    </w:p>
    <w:p>
      <w:pPr>
        <w:pStyle w:val="ListParagraph"/>
        <w:numPr>
          <w:ilvl w:val="0"/>
          <w:numId w:val="2"/>
        </w:numPr>
        <w:spacing w:after="80"/>
        <w:ind w:left="720" w:hanging="360"/>
      </w:pPr>
      <w:r>
        <w:rPr>
          <w:rFonts w:ascii="Arial" w:cs="Arial" w:eastAsia="Arial" w:hAnsi="Arial"/>
          <w:color w:val="374151"/>
          <w:sz w:val="20"/>
          <w:szCs w:val="20"/>
        </w:rPr>
        <w:t xml:space="preserve">Is it direct to cap table or through an SPV with separate carry?</w:t>
      </w:r>
    </w:p>
    <w:p>
      <w:pPr>
        <w:pStyle w:val="ListParagraph"/>
        <w:numPr>
          <w:ilvl w:val="0"/>
          <w:numId w:val="2"/>
        </w:numPr>
        <w:spacing w:after="80"/>
        <w:ind w:left="720" w:hanging="360"/>
      </w:pPr>
      <w:r>
        <w:rPr>
          <w:rFonts w:ascii="Arial" w:cs="Arial" w:eastAsia="Arial" w:hAnsi="Arial"/>
          <w:color w:val="374151"/>
          <w:sz w:val="20"/>
          <w:szCs w:val="20"/>
        </w:rPr>
        <w:t xml:space="preserve">What carry, if any, is charged at the co-investment level?</w:t>
      </w:r>
    </w:p>
    <w:p>
      <w:pPr>
        <w:pStyle w:val="ListParagraph"/>
        <w:numPr>
          <w:ilvl w:val="0"/>
          <w:numId w:val="2"/>
        </w:numPr>
        <w:spacing w:after="80"/>
        <w:ind w:left="720" w:hanging="360"/>
      </w:pPr>
      <w:r>
        <w:rPr>
          <w:rFonts w:ascii="Arial" w:cs="Arial" w:eastAsia="Arial" w:hAnsi="Arial"/>
          <w:color w:val="374151"/>
          <w:sz w:val="20"/>
          <w:szCs w:val="20"/>
        </w:rPr>
        <w:t xml:space="preserve">What is the typical notice period and minimum check size?</w:t>
      </w:r>
    </w:p>
    <w:p>
      <w:pPr>
        <w:spacing w:after="120"/>
        <w:jc w:val="both"/>
      </w:pPr>
      <w:r>
        <w:rPr>
          <w:rFonts w:ascii="Arial" w:cs="Arial" w:eastAsia="Arial" w:hAnsi="Arial"/>
          <w:color w:val="1F2937"/>
          <w:sz w:val="20"/>
          <w:szCs w:val="20"/>
        </w:rPr>
        <w:t xml:space="preserve">Positions where SPV-level carry plus Premier II carry creates two full carry layers are evaluated against adjusted net return thresholds before commitment. The satellite sleeve’s structural advantage depends on fee elimination — any SPV carry layer materially reduces that advantage and must be reflected in the return case.</w:t>
      </w:r>
    </w:p>
    <w:p>
      <w:pPr>
        <w:spacing w:after="100"/>
      </w:pPr>
      <w:r>
        <w:t xml:space="preserve"/>
      </w:r>
    </w:p>
    <w:p>
      <w:pPr>
        <w:spacing w:after="80" w:before="160"/>
      </w:pPr>
      <w:r>
        <w:rPr>
          <w:rFonts w:ascii="Arial" w:cs="Arial" w:eastAsia="Arial" w:hAnsi="Arial"/>
          <w:b/>
          <w:bCs/>
          <w:color w:val="0066CC"/>
          <w:sz w:val="20"/>
          <w:szCs w:val="20"/>
        </w:rPr>
        <w:t xml:space="preserve">2.5 Operational Due Diligence</w:t>
      </w:r>
    </w:p>
    <w:p>
      <w:pPr>
        <w:spacing w:after="120"/>
        <w:jc w:val="both"/>
      </w:pPr>
      <w:r>
        <w:rPr>
          <w:rFonts w:ascii="Arial" w:cs="Arial" w:eastAsia="Arial" w:hAnsi="Arial"/>
          <w:color w:val="1F2937"/>
          <w:sz w:val="20"/>
          <w:szCs w:val="20"/>
        </w:rPr>
        <w:t xml:space="preserve">Decile Capital’s focus on reputational risk research reflects a commitment to responsible and principled investment practices. Managing reputational risk is crucial in the financial industry, where trust and credibility play significant roles.</w:t>
      </w:r>
    </w:p>
    <w:p>
      <w:pPr>
        <w:spacing w:after="120"/>
        <w:jc w:val="both"/>
      </w:pPr>
      <w:r>
        <w:rPr>
          <w:rFonts w:ascii="Arial" w:cs="Arial" w:eastAsia="Arial" w:hAnsi="Arial"/>
          <w:color w:val="1F2937"/>
          <w:sz w:val="20"/>
          <w:szCs w:val="20"/>
        </w:rPr>
        <w:t xml:space="preserve">For Premier II fund selections, operational due diligence includes specific evaluation of the GP’s co-investment infrastructure: how deals are surfaced and communicated to LPs, how allocation decisions are made, and whether the GP has a documented co-investment program or offers deal flow on an ad hoc basis. Systematic co-investment programs are preferred over purely relationship-dependent deal sharing.</w:t>
      </w:r>
    </w:p>
    <w:p>
      <w:pPr>
        <w:spacing w:after="100"/>
      </w:pPr>
      <w:r>
        <w:t xml:space="preserve"/>
      </w:r>
    </w:p>
    <w:p>
      <w:pPr>
        <w:spacing w:after="80" w:before="160"/>
      </w:pPr>
      <w:r>
        <w:rPr>
          <w:rFonts w:ascii="Arial" w:cs="Arial" w:eastAsia="Arial" w:hAnsi="Arial"/>
          <w:b/>
          <w:bCs/>
          <w:color w:val="0066CC"/>
          <w:sz w:val="20"/>
          <w:szCs w:val="20"/>
        </w:rPr>
        <w:t xml:space="preserve">2.6 Regulatory History</w:t>
      </w:r>
    </w:p>
    <w:p>
      <w:pPr>
        <w:spacing w:after="120"/>
        <w:jc w:val="both"/>
      </w:pPr>
      <w:r>
        <w:rPr>
          <w:rFonts w:ascii="Arial" w:cs="Arial" w:eastAsia="Arial" w:hAnsi="Arial"/>
          <w:color w:val="1F2937"/>
          <w:sz w:val="20"/>
          <w:szCs w:val="20"/>
        </w:rPr>
        <w:t xml:space="preserve">Decile Capital investigates which regulatory agencies the manager is registered with. With less well-known managers, examination reports are requested to determine the significance of any identified issues. This approach helps ensure that fund managers Decile Capital works with adhere to industry standards and meet the necessary regulatory requirements.</w:t>
      </w:r>
    </w:p>
    <w:p>
      <w:pPr>
        <w:spacing w:after="100"/>
      </w:pPr>
      <w:r>
        <w:t xml:space="preserve"/>
      </w:r>
    </w:p>
    <w:p>
      <w:pPr>
        <w:spacing w:after="80" w:before="160"/>
      </w:pPr>
      <w:r>
        <w:rPr>
          <w:rFonts w:ascii="Arial" w:cs="Arial" w:eastAsia="Arial" w:hAnsi="Arial"/>
          <w:b/>
          <w:bCs/>
          <w:color w:val="0066CC"/>
          <w:sz w:val="20"/>
          <w:szCs w:val="20"/>
        </w:rPr>
        <w:t xml:space="preserve">2.7 Legal Due Diligence</w:t>
      </w:r>
    </w:p>
    <w:p>
      <w:pPr>
        <w:spacing w:after="120"/>
        <w:jc w:val="both"/>
      </w:pPr>
      <w:r>
        <w:rPr>
          <w:rFonts w:ascii="Arial" w:cs="Arial" w:eastAsia="Arial" w:hAnsi="Arial"/>
          <w:color w:val="1F2937"/>
          <w:sz w:val="20"/>
          <w:szCs w:val="20"/>
        </w:rPr>
        <w:t xml:space="preserve">The Legal Due Diligence stage is a key pillar of the Decile Capital fund due diligence process. Legal Due Diligence involves a thorough examination of legal aspects related to the investment, aiming to identify and mitigate potential legal risks.</w:t>
      </w:r>
    </w:p>
    <w:p>
      <w:pPr>
        <w:spacing w:after="100"/>
      </w:pPr>
      <w:r>
        <w:t xml:space="preserve"/>
      </w:r>
    </w:p>
    <w:p>
      <w:pPr>
        <w:spacing w:after="80" w:before="160"/>
      </w:pPr>
      <w:r>
        <w:rPr>
          <w:rFonts w:ascii="Arial" w:cs="Arial" w:eastAsia="Arial" w:hAnsi="Arial"/>
          <w:b/>
          <w:bCs/>
          <w:color w:val="0066CC"/>
          <w:sz w:val="20"/>
          <w:szCs w:val="20"/>
        </w:rPr>
        <w:t xml:space="preserve">2.8 Reference Checks</w:t>
      </w:r>
    </w:p>
    <w:p>
      <w:pPr>
        <w:spacing w:after="120"/>
        <w:jc w:val="both"/>
      </w:pPr>
      <w:r>
        <w:rPr>
          <w:rFonts w:ascii="Arial" w:cs="Arial" w:eastAsia="Arial" w:hAnsi="Arial"/>
          <w:color w:val="1F2937"/>
          <w:sz w:val="20"/>
          <w:szCs w:val="20"/>
        </w:rPr>
        <w:t xml:space="preserve">Reference checks as a final step in Decile Capital’s due diligence process reflect a commitment to obtaining external perspectives and validating information before making investment decisions. Reference checks provide valuable insights into the fund manager’s reputation, reliability, and past performance.</w:t>
      </w:r>
    </w:p>
    <w:p>
      <w:pPr>
        <w:spacing w:after="100"/>
      </w:pPr>
      <w:r>
        <w:t xml:space="preserve"/>
      </w:r>
    </w:p>
    <w:p>
      <w:r>
        <w:br w:type="page"/>
      </w:r>
    </w:p>
    <w:p>
      <w:pPr>
        <w:spacing w:after="80" w:before="280"/>
      </w:pPr>
      <w:r>
        <w:rPr>
          <w:rFonts w:ascii="Arial" w:cs="Arial" w:eastAsia="Arial" w:hAnsi="Arial"/>
          <w:b/>
          <w:bCs/>
          <w:color w:val="0066CC"/>
          <w:sz w:val="16"/>
          <w:szCs w:val="16"/>
        </w:rPr>
        <w:t xml:space="preserve">SECTION 3</w:t>
      </w:r>
    </w:p>
    <w:p>
      <w:pPr>
        <w:spacing w:after="120" w:before="320"/>
      </w:pPr>
      <w:r>
        <w:rPr>
          <w:rFonts w:ascii="Arial" w:cs="Arial" w:eastAsia="Arial" w:hAnsi="Arial"/>
          <w:b/>
          <w:bCs/>
          <w:color w:val="0A1628"/>
          <w:sz w:val="32"/>
          <w:szCs w:val="32"/>
        </w:rPr>
        <w:t xml:space="preserve">Investment Decision</w:t>
      </w:r>
    </w:p>
    <w:p>
      <w:pPr>
        <w:pBdr>
          <w:bottom w:val="single" w:color="0066CC" w:sz="8" w:space="1"/>
        </w:pBdr>
        <w:spacing w:after="180" w:before="60"/>
      </w:pPr>
    </w:p>
    <w:p>
      <w:pPr>
        <w:spacing w:after="80" w:before="160"/>
      </w:pPr>
      <w:r>
        <w:rPr>
          <w:rFonts w:ascii="Arial" w:cs="Arial" w:eastAsia="Arial" w:hAnsi="Arial"/>
          <w:b/>
          <w:bCs/>
          <w:color w:val="0066CC"/>
          <w:sz w:val="20"/>
          <w:szCs w:val="20"/>
        </w:rPr>
        <w:t xml:space="preserve">3.1 Due Diligence Report</w:t>
      </w:r>
    </w:p>
    <w:p>
      <w:pPr>
        <w:spacing w:after="120"/>
        <w:jc w:val="both"/>
      </w:pPr>
      <w:r>
        <w:rPr>
          <w:rFonts w:ascii="Arial" w:cs="Arial" w:eastAsia="Arial" w:hAnsi="Arial"/>
          <w:color w:val="1F2937"/>
          <w:sz w:val="20"/>
          <w:szCs w:val="20"/>
        </w:rPr>
        <w:t xml:space="preserve">The due diligence findings are compiled in a private and confidential due diligence report. For Premier II, the due diligence report includes a specific section on co-investment potential: estimated deal flow volume per year, fee structure of co-investment offerings, and an assessment of whether the fund qualifies as a Tier 1 (systematic), Tier 2 (validated), or Tier 3 (proprietary) co-investment source as defined in the Premier II Co-Investment Program memo.</w:t>
      </w:r>
    </w:p>
    <w:p>
      <w:pPr>
        <w:spacing w:after="100"/>
      </w:pPr>
      <w:r>
        <w:t xml:space="preserve"/>
      </w:r>
    </w:p>
    <w:p>
      <w:pPr>
        <w:spacing w:after="80" w:before="160"/>
      </w:pPr>
      <w:r>
        <w:rPr>
          <w:rFonts w:ascii="Arial" w:cs="Arial" w:eastAsia="Arial" w:hAnsi="Arial"/>
          <w:b/>
          <w:bCs/>
          <w:color w:val="0066CC"/>
          <w:sz w:val="20"/>
          <w:szCs w:val="20"/>
        </w:rPr>
        <w:t xml:space="preserve">3.2 Investment Committee Recommendation</w:t>
      </w:r>
    </w:p>
    <w:p>
      <w:pPr>
        <w:spacing w:after="120"/>
        <w:jc w:val="both"/>
      </w:pPr>
      <w:r>
        <w:rPr>
          <w:rFonts w:ascii="Arial" w:cs="Arial" w:eastAsia="Arial" w:hAnsi="Arial"/>
          <w:color w:val="1F2937"/>
          <w:sz w:val="20"/>
          <w:szCs w:val="20"/>
        </w:rPr>
        <w:t xml:space="preserve">Each month, at least 5 days prior to the Investment Committee Meeting, the investments team presents its findings in writing to the Investment Committee along with its recommendations.</w:t>
      </w:r>
    </w:p>
    <w:p>
      <w:pPr>
        <w:spacing w:after="100"/>
      </w:pPr>
      <w:r>
        <w:t xml:space="preserve"/>
      </w:r>
    </w:p>
    <w:p>
      <w:pPr>
        <w:spacing w:after="80" w:before="160"/>
      </w:pPr>
      <w:r>
        <w:rPr>
          <w:rFonts w:ascii="Arial" w:cs="Arial" w:eastAsia="Arial" w:hAnsi="Arial"/>
          <w:b/>
          <w:bCs/>
          <w:color w:val="0066CC"/>
          <w:sz w:val="20"/>
          <w:szCs w:val="20"/>
        </w:rPr>
        <w:t xml:space="preserve">3.3 Investment Committee Meeting &amp; Decision</w:t>
      </w:r>
    </w:p>
    <w:p>
      <w:pPr>
        <w:spacing w:after="120"/>
        <w:jc w:val="both"/>
      </w:pPr>
      <w:r>
        <w:rPr>
          <w:rFonts w:ascii="Arial" w:cs="Arial" w:eastAsia="Arial" w:hAnsi="Arial"/>
          <w:color w:val="1F2937"/>
          <w:sz w:val="20"/>
          <w:szCs w:val="20"/>
        </w:rPr>
        <w:t xml:space="preserve">The Investment Committee Meeting plays a pivotal role in the decision-making process at Decile Capital. During this meeting, the team’s recommendations are thoroughly discussed, and the Investment Committee collectively decides on the investment recommendations and the progression of screened funds in the pipeline. Marko Hara, as Senior Investment Advisor, provides independent written analysis to the IC prior to the meeting but does not hold voting rights and does not participate in the final investment decision.</w:t>
      </w:r>
    </w:p>
    <w:p>
      <w:pPr>
        <w:spacing w:after="100"/>
      </w:pPr>
      <w:r>
        <w:t xml:space="preserve"/>
      </w:r>
    </w:p>
    <w:p>
      <w:pPr>
        <w:spacing w:after="80" w:before="160"/>
      </w:pPr>
      <w:r>
        <w:rPr>
          <w:rFonts w:ascii="Arial" w:cs="Arial" w:eastAsia="Arial" w:hAnsi="Arial"/>
          <w:b/>
          <w:bCs/>
          <w:color w:val="0066CC"/>
          <w:sz w:val="20"/>
          <w:szCs w:val="20"/>
        </w:rPr>
        <w:t xml:space="preserve">3.4 Fund Monitoring</w:t>
      </w:r>
    </w:p>
    <w:p>
      <w:pPr>
        <w:spacing w:after="120"/>
        <w:jc w:val="both"/>
      </w:pPr>
      <w:r>
        <w:rPr>
          <w:rFonts w:ascii="Arial" w:cs="Arial" w:eastAsia="Arial" w:hAnsi="Arial"/>
          <w:color w:val="1F2937"/>
          <w:sz w:val="20"/>
          <w:szCs w:val="20"/>
        </w:rPr>
        <w:t xml:space="preserve">Funds invested in are continuously monitored, closely following the development of their portfolios and value creation plans. This ongoing oversight is critical for managing risks, assessing performance, and ensuring that the funds remain aligned with the overall investment strategy.</w:t>
      </w:r>
    </w:p>
    <w:p>
      <w:pPr>
        <w:spacing w:after="120"/>
        <w:jc w:val="both"/>
      </w:pPr>
      <w:r>
        <w:rPr>
          <w:rFonts w:ascii="Arial" w:cs="Arial" w:eastAsia="Arial" w:hAnsi="Arial"/>
          <w:color w:val="1F2937"/>
          <w:sz w:val="20"/>
          <w:szCs w:val="20"/>
        </w:rPr>
        <w:t xml:space="preserve">For Premier II, ongoing monitoring tracks co-investment deal flow separately from fund performance — including number of opportunities surfaced, conversion rate, and fee structure of deals committed to. The satellite sleeve return contribution is tracked independently from the FoF sleeve, with TVPI and MOIC reported separately for each sleeve in quarterly LP reports.</w:t>
      </w:r>
    </w:p>
    <w:p>
      <w:pPr>
        <w:spacing w:after="100"/>
      </w:pPr>
      <w:r>
        <w:t xml:space="preserve"/>
      </w:r>
    </w:p>
    <w:p>
      <w:r>
        <w:br w:type="page"/>
      </w:r>
    </w:p>
    <w:p>
      <w:pPr>
        <w:spacing w:after="80" w:before="280"/>
      </w:pPr>
      <w:r>
        <w:rPr>
          <w:rFonts w:ascii="Arial" w:cs="Arial" w:eastAsia="Arial" w:hAnsi="Arial"/>
          <w:b/>
          <w:bCs/>
          <w:color w:val="0066CC"/>
          <w:sz w:val="16"/>
          <w:szCs w:val="16"/>
        </w:rPr>
        <w:t xml:space="preserve">SECTION 4</w:t>
      </w:r>
    </w:p>
    <w:p>
      <w:pPr>
        <w:spacing w:after="120" w:before="320"/>
      </w:pPr>
      <w:r>
        <w:rPr>
          <w:rFonts w:ascii="Arial" w:cs="Arial" w:eastAsia="Arial" w:hAnsi="Arial"/>
          <w:b/>
          <w:bCs/>
          <w:color w:val="0A1628"/>
          <w:sz w:val="32"/>
          <w:szCs w:val="32"/>
        </w:rPr>
        <w:t xml:space="preserve">Direct Satellite Sleeve — Investment Decision Process</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The satellite sleeve operates under a distinct investment process from the FoF sleeve, reflecting the different risk profile, return requirements, and decision timeline of direct co-investments.</w:t>
      </w:r>
    </w:p>
    <w:p>
      <w:pPr>
        <w:spacing w:after="100"/>
      </w:pPr>
      <w:r>
        <w:t xml:space="preserve"/>
      </w:r>
    </w:p>
    <w:p>
      <w:pPr>
        <w:spacing w:after="80" w:before="160"/>
      </w:pPr>
      <w:r>
        <w:rPr>
          <w:rFonts w:ascii="Arial" w:cs="Arial" w:eastAsia="Arial" w:hAnsi="Arial"/>
          <w:b/>
          <w:bCs/>
          <w:color w:val="0066CC"/>
          <w:sz w:val="20"/>
          <w:szCs w:val="20"/>
        </w:rPr>
        <w:t xml:space="preserve">4.1 Deal Sourcing</w:t>
      </w:r>
    </w:p>
    <w:p>
      <w:pPr>
        <w:spacing w:after="120"/>
        <w:jc w:val="both"/>
      </w:pPr>
      <w:r>
        <w:rPr>
          <w:rFonts w:ascii="Arial" w:cs="Arial" w:eastAsia="Arial" w:hAnsi="Arial"/>
          <w:color w:val="1F2937"/>
          <w:sz w:val="20"/>
          <w:szCs w:val="20"/>
        </w:rPr>
        <w:t xml:space="preserve">Direct positions are sourced through GP relationships built via the FoF sleeve. Every direct opportunity is referred by a GP whose fund Premier II has committed to, or surfaces through the Blue Moon AI pipeline available to Premier II as a fund LP. Open-market or unsolicited opportunities are evaluated against the same criteria but are deprioritized unless they arrive through a validated network relationship with documented information advantage.</w:t>
      </w:r>
    </w:p>
    <w:p>
      <w:pPr>
        <w:spacing w:after="100"/>
      </w:pPr>
      <w:r>
        <w:t xml:space="preserve"/>
      </w:r>
    </w:p>
    <w:p>
      <w:pPr>
        <w:spacing w:after="80" w:before="160"/>
      </w:pPr>
      <w:r>
        <w:rPr>
          <w:rFonts w:ascii="Arial" w:cs="Arial" w:eastAsia="Arial" w:hAnsi="Arial"/>
          <w:b/>
          <w:bCs/>
          <w:color w:val="0066CC"/>
          <w:sz w:val="20"/>
          <w:szCs w:val="20"/>
        </w:rPr>
        <w:t xml:space="preserve">4.2 Evaluation Criteria</w:t>
      </w:r>
    </w:p>
    <w:p>
      <w:pPr>
        <w:spacing w:after="120"/>
        <w:jc w:val="both"/>
      </w:pPr>
      <w:r>
        <w:rPr>
          <w:rFonts w:ascii="Arial" w:cs="Arial" w:eastAsia="Arial" w:hAnsi="Arial"/>
          <w:color w:val="1F2937"/>
          <w:sz w:val="20"/>
          <w:szCs w:val="20"/>
        </w:rPr>
        <w:t xml:space="preserve">Every satellite position is evaluated against the portfolio construction requirements of the satellite sleeve. Given that 6 positions need to generate sufficient return to drive meaningful blended TVPI above the FoF sleeve ceiling, each position must demonstrate a credible path to asymmetric returns — typically 10x+ gross — relative to its entry valuation and fee structure.</w:t>
      </w:r>
    </w:p>
    <w:p>
      <w:pPr>
        <w:spacing w:after="120"/>
        <w:jc w:val="both"/>
      </w:pPr>
      <w:r>
        <w:rPr>
          <w:rFonts w:ascii="Arial" w:cs="Arial" w:eastAsia="Arial" w:hAnsi="Arial"/>
          <w:color w:val="1F2937"/>
          <w:sz w:val="20"/>
          <w:szCs w:val="20"/>
        </w:rPr>
        <w:t xml:space="preserve">This is not a hard threshold but a planning discipline: positions where the realistic upside scenario does not materially exceed the FoF sleeve return ceiling receive heightened scrutiny before IC approval. Company quality, GP conviction, access terms, and fee structure are all considered alongside return potential. The IC retains full discretion on all satellite commitments.</w:t>
      </w:r>
    </w:p>
    <w:p>
      <w:pPr>
        <w:spacing w:after="100"/>
      </w:pPr>
      <w:r>
        <w:t xml:space="preserve"/>
      </w:r>
    </w:p>
    <w:p>
      <w:pPr>
        <w:spacing w:after="80" w:before="160"/>
      </w:pPr>
      <w:r>
        <w:rPr>
          <w:rFonts w:ascii="Arial" w:cs="Arial" w:eastAsia="Arial" w:hAnsi="Arial"/>
          <w:b/>
          <w:bCs/>
          <w:color w:val="0066CC"/>
          <w:sz w:val="20"/>
          <w:szCs w:val="20"/>
        </w:rPr>
        <w:t xml:space="preserve">4.3 Fee Structure Confirmation</w:t>
      </w:r>
    </w:p>
    <w:p>
      <w:pPr>
        <w:spacing w:after="120"/>
        <w:jc w:val="both"/>
      </w:pPr>
      <w:r>
        <w:rPr>
          <w:rFonts w:ascii="Arial" w:cs="Arial" w:eastAsia="Arial" w:hAnsi="Arial"/>
          <w:color w:val="1F2937"/>
          <w:sz w:val="20"/>
          <w:szCs w:val="20"/>
        </w:rPr>
        <w:t xml:space="preserve">Before any satellite commitment, the following must be confirmed in writing:</w:t>
      </w:r>
    </w:p>
    <w:p>
      <w:pPr>
        <w:pStyle w:val="ListParagraph"/>
        <w:numPr>
          <w:ilvl w:val="0"/>
          <w:numId w:val="2"/>
        </w:numPr>
        <w:spacing w:after="80"/>
        <w:ind w:left="720" w:hanging="360"/>
      </w:pPr>
      <w:r>
        <w:rPr>
          <w:rFonts w:ascii="Arial" w:cs="Arial" w:eastAsia="Arial" w:hAnsi="Arial"/>
          <w:color w:val="374151"/>
          <w:sz w:val="20"/>
          <w:szCs w:val="20"/>
        </w:rPr>
        <w:t xml:space="preserve">Is the investment direct to cap table or through an SPV?</w:t>
      </w:r>
    </w:p>
    <w:p>
      <w:pPr>
        <w:pStyle w:val="ListParagraph"/>
        <w:numPr>
          <w:ilvl w:val="0"/>
          <w:numId w:val="2"/>
        </w:numPr>
        <w:spacing w:after="80"/>
        <w:ind w:left="720" w:hanging="360"/>
      </w:pPr>
      <w:r>
        <w:rPr>
          <w:rFonts w:ascii="Arial" w:cs="Arial" w:eastAsia="Arial" w:hAnsi="Arial"/>
          <w:color w:val="374151"/>
          <w:sz w:val="20"/>
          <w:szCs w:val="20"/>
        </w:rPr>
        <w:t xml:space="preserve">If through an SPV, what carry and management fee applies at the SPV level?</w:t>
      </w:r>
    </w:p>
    <w:p>
      <w:pPr>
        <w:pStyle w:val="ListParagraph"/>
        <w:numPr>
          <w:ilvl w:val="0"/>
          <w:numId w:val="2"/>
        </w:numPr>
        <w:spacing w:after="80"/>
        <w:ind w:left="720" w:hanging="360"/>
      </w:pPr>
      <w:r>
        <w:rPr>
          <w:rFonts w:ascii="Arial" w:cs="Arial" w:eastAsia="Arial" w:hAnsi="Arial"/>
          <w:color w:val="374151"/>
          <w:sz w:val="20"/>
          <w:szCs w:val="20"/>
        </w:rPr>
        <w:t xml:space="preserve">What Premier II carry applies on top?</w:t>
      </w:r>
    </w:p>
    <w:p>
      <w:pPr>
        <w:pStyle w:val="ListParagraph"/>
        <w:numPr>
          <w:ilvl w:val="0"/>
          <w:numId w:val="2"/>
        </w:numPr>
        <w:spacing w:after="80"/>
        <w:ind w:left="720" w:hanging="360"/>
      </w:pPr>
      <w:r>
        <w:rPr>
          <w:rFonts w:ascii="Arial" w:cs="Arial" w:eastAsia="Arial" w:hAnsi="Arial"/>
          <w:color w:val="374151"/>
          <w:sz w:val="20"/>
          <w:szCs w:val="20"/>
        </w:rPr>
        <w:t xml:space="preserve">What is the total combined fee load across both layers?</w:t>
      </w:r>
    </w:p>
    <w:p>
      <w:pPr>
        <w:spacing w:after="120"/>
        <w:jc w:val="both"/>
      </w:pPr>
      <w:r>
        <w:rPr>
          <w:rFonts w:ascii="Arial" w:cs="Arial" w:eastAsia="Arial" w:hAnsi="Arial"/>
          <w:color w:val="1F2937"/>
          <w:sz w:val="20"/>
          <w:szCs w:val="20"/>
        </w:rPr>
        <w:t xml:space="preserve">Positions where SPV carry plus Premier II carry creates two full carry layers are subject to enhanced return threshold review. The satellite sleeve’s structural advantage is fee elimination on direct positions — any SPV carry layer must be explicitly modelled against the net return case before IC approval.</w:t>
      </w:r>
    </w:p>
    <w:p>
      <w:pPr>
        <w:spacing w:after="100"/>
      </w:pPr>
      <w:r>
        <w:t xml:space="preserve"/>
      </w:r>
    </w:p>
    <w:p>
      <w:pPr>
        <w:spacing w:after="80" w:before="160"/>
      </w:pPr>
      <w:r>
        <w:rPr>
          <w:rFonts w:ascii="Arial" w:cs="Arial" w:eastAsia="Arial" w:hAnsi="Arial"/>
          <w:b/>
          <w:bCs/>
          <w:color w:val="0066CC"/>
          <w:sz w:val="20"/>
          <w:szCs w:val="20"/>
        </w:rPr>
        <w:t xml:space="preserve">4.4 Decision Timeline</w:t>
      </w:r>
    </w:p>
    <w:p>
      <w:pPr>
        <w:spacing w:after="120"/>
        <w:jc w:val="both"/>
      </w:pPr>
      <w:r>
        <w:rPr>
          <w:rFonts w:ascii="Arial" w:cs="Arial" w:eastAsia="Arial" w:hAnsi="Arial"/>
          <w:color w:val="1F2937"/>
          <w:sz w:val="20"/>
          <w:szCs w:val="20"/>
        </w:rPr>
        <w:t xml:space="preserve">Co-investment opportunities typically carry 48–72 hour decision windows from GP notification to commitment. The IC reviews satellite positions on an expedited basis. Marko Hara provides independent written analysis within the window; the IC makes the final decision. Premier II takes first allocation on every direct opportunity up to its written per-deal capacity before any SPV or co-investment vehicle is opened to other investors.</w:t>
      </w:r>
    </w:p>
    <w:p>
      <w:pPr>
        <w:spacing w:after="100"/>
      </w:pPr>
      <w:r>
        <w:t xml:space="preserve"/>
      </w:r>
    </w:p>
    <w:p>
      <w:pPr>
        <w:spacing w:after="80" w:before="160"/>
      </w:pPr>
      <w:r>
        <w:rPr>
          <w:rFonts w:ascii="Arial" w:cs="Arial" w:eastAsia="Arial" w:hAnsi="Arial"/>
          <w:b/>
          <w:bCs/>
          <w:color w:val="0066CC"/>
          <w:sz w:val="20"/>
          <w:szCs w:val="20"/>
        </w:rPr>
        <w:t xml:space="preserve">4.5 Position Sizing</w:t>
      </w:r>
    </w:p>
    <w:p>
      <w:pPr>
        <w:spacing w:after="120"/>
        <w:jc w:val="both"/>
      </w:pPr>
      <w:r>
        <w:rPr>
          <w:rFonts w:ascii="Arial" w:cs="Arial" w:eastAsia="Arial" w:hAnsi="Arial"/>
          <w:color w:val="1F2937"/>
          <w:sz w:val="20"/>
          <w:szCs w:val="20"/>
        </w:rPr>
        <w:t xml:space="preserve">Maximum single satellite position is 25% of Total Capital Commitments per LPA Section 4.2. Target position size is $150K–$500K depending on available satellite capital at time of commitment. Positions below $100K are generally not pursued given operational overhead relative to return impact. Position sizing is reviewed against remaining satellite sleeve capacity at each commitment to ensure adequate diversification across the targeted 6-position portfolio.</w:t>
      </w:r>
    </w:p>
    <w:p>
      <w:pPr>
        <w:spacing w:after="100"/>
      </w:pPr>
      <w:r>
        <w:t xml:space="preserve"/>
      </w:r>
    </w:p>
    <w:p>
      <w:pPr>
        <w:spacing w:after="80" w:before="160"/>
      </w:pPr>
      <w:r>
        <w:rPr>
          <w:rFonts w:ascii="Arial" w:cs="Arial" w:eastAsia="Arial" w:hAnsi="Arial"/>
          <w:b/>
          <w:bCs/>
          <w:color w:val="0066CC"/>
          <w:sz w:val="20"/>
          <w:szCs w:val="20"/>
        </w:rPr>
        <w:t xml:space="preserve">4.6 Premier I LP Co-Investment Rights</w:t>
      </w:r>
    </w:p>
    <w:p>
      <w:pPr>
        <w:spacing w:after="120"/>
        <w:jc w:val="both"/>
      </w:pPr>
      <w:r>
        <w:rPr>
          <w:rFonts w:ascii="Arial" w:cs="Arial" w:eastAsia="Arial" w:hAnsi="Arial"/>
          <w:color w:val="1F2937"/>
          <w:sz w:val="20"/>
          <w:szCs w:val="20"/>
        </w:rPr>
        <w:t xml:space="preserve">Premier I LPs have first right of refusal on satellite sleeve co-investment opportunities at terms no less favorable than outside investors. Premier II takes allocation first; remaining capacity is offered to Premier I LPs before the opportunity is opened to the broader Premier network or external investors. This structure prefigures the economics of the Decile Growth Opportunity Fund I co-investment network currently in development.</w:t>
      </w:r>
    </w:p>
    <w:p>
      <w:pPr>
        <w:spacing w:after="100"/>
      </w:pPr>
      <w:r>
        <w:t xml:space="preserve"/>
      </w:r>
    </w:p>
    <w:p>
      <w:r>
        <w:br w:type="page"/>
      </w:r>
    </w:p>
    <w:p>
      <w:pPr>
        <w:spacing w:after="80" w:before="280"/>
      </w:pPr>
      <w:r>
        <w:rPr>
          <w:rFonts w:ascii="Arial" w:cs="Arial" w:eastAsia="Arial" w:hAnsi="Arial"/>
          <w:b/>
          <w:bCs/>
          <w:color w:val="0066CC"/>
          <w:sz w:val="16"/>
          <w:szCs w:val="16"/>
        </w:rPr>
        <w:t xml:space="preserve">DISCLAIMER</w:t>
      </w:r>
    </w:p>
    <w:p>
      <w:pPr>
        <w:pBdr>
          <w:bottom w:val="single" w:color="0066CC" w:sz="8" w:space="1"/>
        </w:pBdr>
        <w:spacing w:after="180" w:before="60"/>
      </w:pPr>
    </w:p>
    <w:p>
      <w:pPr>
        <w:spacing w:after="120"/>
        <w:jc w:val="both"/>
      </w:pPr>
      <w:r>
        <w:rPr>
          <w:rFonts w:ascii="Arial" w:cs="Arial" w:eastAsia="Arial" w:hAnsi="Arial"/>
          <w:i/>
          <w:iCs/>
          <w:color w:val="6B7280"/>
          <w:sz w:val="17"/>
          <w:szCs w:val="17"/>
        </w:rPr>
        <w:t xml:space="preserve">This document is for internal use and for distribution to existing Premier II limited partners only. It describes the fund’s investment process and decision-making framework as of May 2026. The process may be updated from time to time at the discretion of the General Partner. This document does not constitute an offer or solicitation to make any investment.</w:t>
      </w:r>
    </w:p>
    <w:p>
      <w:pPr>
        <w:spacing w:after="100"/>
      </w:pPr>
      <w:r>
        <w:t xml:space="preserve"/>
      </w:r>
    </w:p>
    <w:p>
      <w:pPr>
        <w:spacing w:after="120"/>
        <w:jc w:val="center"/>
      </w:pPr>
      <w:r>
        <w:rPr>
          <w:rFonts w:ascii="Arial" w:cs="Arial" w:eastAsia="Arial" w:hAnsi="Arial"/>
          <w:i/>
          <w:iCs/>
          <w:color w:val="6B7280"/>
          <w:sz w:val="17"/>
          <w:szCs w:val="17"/>
        </w:rPr>
        <w:t xml:space="preserve">Decile Capital Premier II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2026-05-18T14:20:01.599Z</dcterms:created>
  <dcterms:modified xsi:type="dcterms:W3CDTF">2026-05-18T14:20:01.620Z</dcterms:modified>
</cp:coreProperties>
</file>

<file path=docProps/custom.xml><?xml version="1.0" encoding="utf-8"?>
<Properties xmlns="http://schemas.openxmlformats.org/officeDocument/2006/custom-properties" xmlns:vt="http://schemas.openxmlformats.org/officeDocument/2006/docPropsVTypes"/>
</file>