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20"/>
      </w:pPr>
      <w:r>
        <w:t xml:space="preserve"/>
      </w:r>
    </w:p>
    <w:p>
      <w:pPr>
        <w:spacing w:after="80"/>
        <w:jc w:val="center"/>
      </w:pPr>
      <w:r>
        <w:rPr>
          <w:rFonts w:ascii="Arial" w:cs="Arial" w:eastAsia="Arial" w:hAnsi="Arial"/>
          <w:color w:val="0066CC"/>
          <w:sz w:val="32"/>
          <w:szCs w:val="32"/>
        </w:rPr>
        <w:t xml:space="preserve">Decile Capital</w:t>
      </w:r>
    </w:p>
    <w:p>
      <w:pPr>
        <w:spacing w:after="80"/>
        <w:jc w:val="center"/>
      </w:pPr>
      <w:r>
        <w:rPr>
          <w:rFonts w:ascii="Arial" w:cs="Arial" w:eastAsia="Arial" w:hAnsi="Arial"/>
          <w:b/>
          <w:bCs/>
          <w:color w:val="0A1628"/>
          <w:sz w:val="56"/>
          <w:szCs w:val="56"/>
        </w:rPr>
        <w:t xml:space="preserve">Premier II</w:t>
      </w:r>
    </w:p>
    <w:p>
      <w:pPr>
        <w:spacing w:after="80"/>
        <w:jc w:val="center"/>
      </w:pPr>
      <w:r>
        <w:rPr>
          <w:rFonts w:ascii="Arial" w:cs="Arial" w:eastAsia="Arial" w:hAnsi="Arial"/>
          <w:color w:val="0066CC"/>
          <w:sz w:val="32"/>
          <w:szCs w:val="32"/>
        </w:rPr>
        <w:t xml:space="preserve">Inaugural LP Report</w:t>
      </w:r>
    </w:p>
    <w:p>
      <w:pPr>
        <w:spacing w:after="400"/>
        <w:jc w:val="center"/>
      </w:pPr>
      <w:r>
        <w:rPr>
          <w:rFonts w:ascii="Arial" w:cs="Arial" w:eastAsia="Arial" w:hAnsi="Arial"/>
          <w:color w:val="6B7280"/>
          <w:sz w:val="24"/>
          <w:szCs w:val="24"/>
        </w:rPr>
        <w:t xml:space="preserve">June 2025 — May 15, 2026</w:t>
      </w:r>
    </w:p>
    <w:p>
      <w:pPr>
        <w:jc w:val="center"/>
      </w:pPr>
      <w:r>
        <w:rPr>
          <w:rFonts w:ascii="Arial" w:cs="Arial" w:eastAsia="Arial" w:hAnsi="Arial"/>
          <w:i/>
          <w:iCs/>
          <w:color w:val="6B7280"/>
          <w:sz w:val="18"/>
          <w:szCs w:val="18"/>
        </w:rPr>
        <w:t xml:space="preserve">Strictly Private &amp; Confidential</w:t>
      </w:r>
    </w:p>
    <w:p>
      <w:r>
        <w:br w:type="page"/>
      </w:r>
    </w:p>
    <w:p>
      <w:pPr>
        <w:spacing w:after="80" w:before="320"/>
      </w:pPr>
      <w:r>
        <w:rPr>
          <w:rFonts w:ascii="Arial" w:cs="Arial" w:eastAsia="Arial" w:hAnsi="Arial"/>
          <w:b/>
          <w:bCs/>
          <w:color w:val="0066CC"/>
          <w:sz w:val="16"/>
          <w:szCs w:val="16"/>
        </w:rPr>
        <w:t xml:space="preserve">MESSAGE FROM ADEO RESSI</w:t>
      </w:r>
    </w:p>
    <w:p>
      <w:pPr>
        <w:pStyle w:val="Heading1"/>
        <w:spacing w:after="160" w:before="400"/>
      </w:pPr>
      <w:r>
        <w:rPr>
          <w:rFonts w:ascii="Arial" w:cs="Arial" w:eastAsia="Arial" w:hAnsi="Arial"/>
          <w:b/>
          <w:bCs/>
          <w:color w:val="0A1628"/>
          <w:sz w:val="36"/>
          <w:szCs w:val="36"/>
        </w:rPr>
        <w:t xml:space="preserve">Agentic VC is Here</w:t>
      </w:r>
    </w:p>
    <w:p>
      <w:pPr>
        <w:pBdr>
          <w:bottom w:val="single" w:color="0066CC" w:sz="6" w:space="1"/>
        </w:pBdr>
        <w:spacing w:after="200" w:before="80"/>
      </w:pPr>
    </w:p>
    <w:p>
      <w:pPr>
        <w:spacing w:after="120"/>
        <w:jc w:val="both"/>
      </w:pPr>
      <w:r>
        <w:rPr>
          <w:rFonts w:ascii="Arial" w:cs="Arial" w:eastAsia="Arial" w:hAnsi="Arial"/>
          <w:color w:val="1F2937"/>
          <w:sz w:val="20"/>
          <w:szCs w:val="20"/>
        </w:rPr>
        <w:t xml:space="preserve">Last week, I watched an artificial intelligence agent, Startupz.vc, analyze 1,000 startups in the time it would take a typical VC team to research 10. The agent identified patterns in market timing, founder backgrounds, and competitive landscapes that would have taken venture capital firms many hours of work to uncover manually. This moment crystallized something the industry has been feeling for the past year: we are witnessing the most dramatic transformation in venture capital since its inception.</w:t>
      </w:r>
    </w:p>
    <w:p>
      <w:pPr>
        <w:spacing w:after="120"/>
        <w:jc w:val="both"/>
      </w:pPr>
      <w:r>
        <w:rPr>
          <w:rFonts w:ascii="Arial" w:cs="Arial" w:eastAsia="Arial" w:hAnsi="Arial"/>
          <w:color w:val="1F2937"/>
          <w:sz w:val="20"/>
          <w:szCs w:val="20"/>
        </w:rPr>
        <w:t xml:space="preserve">The arrival of agentic technology in venture investing represents more than just efficiency gains. These intelligent systems are fundamentally changing what it means to be a venture capitalist. Better sourcing capabilities allow VCs to discover exceptional founders in underserved markets. Faster research means firms can move quickly when timing matters most. Adaptive strategy helps investors adjust their focus as markets evolve in real time.</w:t>
      </w:r>
    </w:p>
    <w:p>
      <w:pPr>
        <w:spacing w:after="120"/>
        <w:jc w:val="both"/>
      </w:pPr>
      <w:r>
        <w:rPr>
          <w:rFonts w:ascii="Arial" w:cs="Arial" w:eastAsia="Arial" w:hAnsi="Arial"/>
          <w:color w:val="1F2937"/>
          <w:sz w:val="20"/>
          <w:szCs w:val="20"/>
        </w:rPr>
        <w:t xml:space="preserve">Enhanced back office operations free VC teams to focus on what humans do best: building relationships and providing guidance to entrepreneurs. Detailed follow-up becomes systematic rather than sporadic, ensuring portfolio companies receive the support they need when they need it. The technology serves as an extension of a firm’s capabilities rather than a replacement for human judgment.</w:t>
      </w:r>
    </w:p>
    <w:p>
      <w:pPr>
        <w:spacing w:after="120"/>
        <w:jc w:val="both"/>
      </w:pPr>
      <w:r>
        <w:rPr>
          <w:rFonts w:ascii="Arial" w:cs="Arial" w:eastAsia="Arial" w:hAnsi="Arial"/>
          <w:color w:val="1F2937"/>
          <w:sz w:val="20"/>
          <w:szCs w:val="20"/>
        </w:rPr>
        <w:t xml:space="preserve">The most successful managers are those who embrace these tools while maintaining their focus on mission-driven investing. Agents can process vast amounts of data, but they cannot replace the human ability to recognise visionary leaders or understand the deeper purpose behind a company. The combination of artificial intelligence and human wisdom creates unprecedented opportunities for the venture capital community.</w:t>
      </w:r>
    </w:p>
    <w:p>
      <w:pPr>
        <w:spacing w:after="120"/>
        <w:jc w:val="both"/>
      </w:pPr>
      <w:r>
        <w:rPr>
          <w:rFonts w:ascii="Arial" w:cs="Arial" w:eastAsia="Arial" w:hAnsi="Arial"/>
          <w:color w:val="1F2937"/>
          <w:sz w:val="20"/>
          <w:szCs w:val="20"/>
        </w:rPr>
        <w:t xml:space="preserve">For limited partners investing in Decile Capital, the rise of agentic technology represents a compelling new dimension of value creation. We are building the tools and helping the next generation of venture managers to leverage these tools more effectively. Our ability to evaluate hundreds of emerging managers, assess the sophistication of their technological capabilities, and monitor portfolio performance across a broad landscape of funds has been meaningfully enhanced by agentic systems.</w:t>
      </w:r>
    </w:p>
    <w:p>
      <w:pPr>
        <w:spacing w:after="120"/>
        <w:jc w:val="both"/>
      </w:pPr>
      <w:r>
        <w:rPr>
          <w:rFonts w:ascii="Arial" w:cs="Arial" w:eastAsia="Arial" w:hAnsi="Arial"/>
          <w:color w:val="1F2937"/>
          <w:sz w:val="20"/>
          <w:szCs w:val="20"/>
        </w:rPr>
        <w:t xml:space="preserve">Ultimately, limited partners benefit from a multiplier effect: the same agentic technologies that empower our portfolio managers to source better deals and support their founders more effectively also sharpen our own due diligence and portfolio construction processes. We believe that fund of funds managers who embrace this technological shift will gain access to a higher quality, more diverse set of venture managers than has ever been possible before.</w:t>
      </w:r>
    </w:p>
    <w:p>
      <w:pPr>
        <w:spacing w:after="120"/>
        <w:jc w:val="both"/>
      </w:pPr>
      <w:r>
        <w:rPr>
          <w:rFonts w:ascii="Arial" w:cs="Arial" w:eastAsia="Arial" w:hAnsi="Arial"/>
          <w:color w:val="1F2937"/>
          <w:sz w:val="20"/>
          <w:szCs w:val="20"/>
        </w:rPr>
        <w:t xml:space="preserve">We are committed to ensuring that our limited partners are positioned to capture the outsized returns that come from backing the most forward-thinking stewards of venture capital in the market today.</w:t>
      </w:r>
    </w:p>
    <w:p>
      <w:pPr>
        <w:spacing w:after="120"/>
      </w:pPr>
      <w:r>
        <w:t xml:space="preserve"/>
      </w:r>
    </w:p>
    <w:p>
      <w:r>
        <w:rPr>
          <w:rFonts w:ascii="Arial" w:cs="Arial" w:eastAsia="Arial" w:hAnsi="Arial"/>
          <w:sz w:val="20"/>
          <w:szCs w:val="20"/>
        </w:rPr>
        <w:t xml:space="preserve">Sincerely,</w:t>
      </w:r>
    </w:p>
    <w:p>
      <w:pPr>
        <w:spacing w:after="120"/>
      </w:pPr>
      <w:r>
        <w:t xml:space="preserve"/>
      </w:r>
    </w:p>
    <w:p>
      <w:r>
        <w:rPr>
          <w:rFonts w:ascii="Arial" w:cs="Arial" w:eastAsia="Arial" w:hAnsi="Arial"/>
          <w:b/>
          <w:bCs/>
          <w:color w:val="0A1628"/>
          <w:sz w:val="22"/>
          <w:szCs w:val="22"/>
        </w:rPr>
        <w:t xml:space="preserve">Adeo Ressi</w:t>
      </w:r>
    </w:p>
    <w:p>
      <w:pPr>
        <w:spacing w:after="80"/>
      </w:pPr>
      <w:r>
        <w:rPr>
          <w:rFonts w:ascii="Arial" w:cs="Arial" w:eastAsia="Arial" w:hAnsi="Arial"/>
          <w:color w:val="6B7280"/>
          <w:sz w:val="18"/>
          <w:szCs w:val="18"/>
        </w:rPr>
        <w:t xml:space="preserve">General Partner, Decile Capital</w:t>
      </w:r>
    </w:p>
    <w:p>
      <w:r>
        <w:br w:type="page"/>
      </w:r>
    </w:p>
    <w:p>
      <w:pPr>
        <w:spacing w:after="80" w:before="320"/>
      </w:pPr>
      <w:r>
        <w:rPr>
          <w:rFonts w:ascii="Arial" w:cs="Arial" w:eastAsia="Arial" w:hAnsi="Arial"/>
          <w:b/>
          <w:bCs/>
          <w:color w:val="0066CC"/>
          <w:sz w:val="16"/>
          <w:szCs w:val="16"/>
        </w:rPr>
        <w:t xml:space="preserve">OVERVIEW</w:t>
      </w:r>
    </w:p>
    <w:p>
      <w:pPr>
        <w:pStyle w:val="Heading1"/>
        <w:spacing w:after="160" w:before="400"/>
      </w:pPr>
      <w:r>
        <w:rPr>
          <w:rFonts w:ascii="Arial" w:cs="Arial" w:eastAsia="Arial" w:hAnsi="Arial"/>
          <w:b/>
          <w:bCs/>
          <w:color w:val="0A1628"/>
          <w:sz w:val="36"/>
          <w:szCs w:val="36"/>
        </w:rPr>
        <w:t xml:space="preserve">Executive Summary</w:t>
      </w:r>
    </w:p>
    <w:p>
      <w:pPr>
        <w:pBdr>
          <w:bottom w:val="single" w:color="0066CC" w:sz="6" w:space="1"/>
        </w:pBdr>
        <w:spacing w:after="2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i w:val="false"/>
                <w:iCs w:val="false"/>
                <w:color w:val="FFFFFF"/>
                <w:sz w:val="16"/>
                <w:szCs w:val="16"/>
              </w:rPr>
              <w:t xml:space="preserve">Metric</w:t>
            </w:r>
          </w:p>
        </w:tc>
        <w:tc>
          <w:tcPr>
            <w:tcW w:type="dxa" w:w="612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i w:val="false"/>
                <w:iCs w:val="false"/>
                <w:color w:val="FFFFFF"/>
                <w:sz w:val="16"/>
                <w:szCs w:val="16"/>
              </w:rPr>
              <w:t xml:space="preserve">Value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Reporting Period</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June 2025 — May 15, 2026</w:t>
            </w:r>
          </w:p>
        </w:tc>
      </w:tr>
      <w:tr>
        <w:tc>
          <w:tcPr>
            <w:tcW w:type="dxa" w:w="3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Strategy</w:t>
            </w:r>
          </w:p>
        </w:tc>
        <w:tc>
          <w:tcPr>
            <w:tcW w:type="dxa" w:w="6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Seed &amp; Pre-Seed · 70% Fund of Funds · 30% Direct Satellite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Total Commitments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$2.6M</w:t>
            </w:r>
          </w:p>
        </w:tc>
      </w:tr>
      <w:tr>
        <w:tc>
          <w:tcPr>
            <w:tcW w:type="dxa" w:w="3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Capital Called</w:t>
            </w:r>
          </w:p>
        </w:tc>
        <w:tc>
          <w:tcPr>
            <w:tcW w:type="dxa" w:w="6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25% ($650K)</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Fund Investments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3 committed · 1 upcoming (Blue Moon)</w:t>
            </w:r>
          </w:p>
        </w:tc>
      </w:tr>
      <w:tr>
        <w:tc>
          <w:tcPr>
            <w:tcW w:type="dxa" w:w="3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Direct Sleeve</w:t>
            </w:r>
          </w:p>
        </w:tc>
        <w:tc>
          <w:tcPr>
            <w:tcW w:type="dxa" w:w="6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Deployment begins Q2/Q3 2026</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Premier II Target TVPI</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5x</w:t>
            </w:r>
          </w:p>
        </w:tc>
      </w:tr>
    </w:tbl>
    <w:p>
      <w:pPr>
        <w:spacing w:after="120"/>
      </w:pPr>
      <w:r>
        <w:t xml:space="preserve"/>
      </w:r>
    </w:p>
    <w:p>
      <w:pPr>
        <w:pStyle w:val="Heading2"/>
        <w:spacing w:after="120" w:before="280"/>
      </w:pPr>
      <w:r>
        <w:rPr>
          <w:rFonts w:ascii="Arial" w:cs="Arial" w:eastAsia="Arial" w:hAnsi="Arial"/>
          <w:b/>
          <w:bCs/>
          <w:color w:val="0A1628"/>
          <w:sz w:val="26"/>
          <w:szCs w:val="26"/>
        </w:rPr>
        <w:t xml:space="preserve">Fund Architecture</w:t>
      </w:r>
    </w:p>
    <w:p>
      <w:pPr>
        <w:spacing w:after="120"/>
        <w:jc w:val="both"/>
      </w:pPr>
      <w:r>
        <w:rPr>
          <w:rFonts w:ascii="Arial" w:cs="Arial" w:eastAsia="Arial" w:hAnsi="Arial"/>
          <w:color w:val="1F2937"/>
          <w:sz w:val="20"/>
          <w:szCs w:val="20"/>
        </w:rPr>
        <w:t>Premier II is structured as a hybrid vehicle combining two complementary return engines. Approximately 70% of capital is allocated to a curated fund of funds, providing diversified exposure to top-decile emerging managers. The remaining 30% targets direct satellite positions in single assets where Premier has information advantage, scarce allocation access, and high conviction.</w:t>
        <w:br/>
        <w:br/>
        <w:t>The two sleeves carry different fee structures. Target fund investments in the FoF sleeve carry two fee layers: the underlying fund’s own management fee and carry, plus Premier II’s 1% management fee and 10% carry. Direct co-investments made through the satellite sleeve carry only Premier II’s single fee layer — no additional SPV-level management fee or carry applies. This fee elimination on direct positions is the structural advantage of the satellite sleeve: the same gross return delivers materially more to the LP when one fee layer is removed.</w:t>
      </w:r>
    </w:p>
    <w:p>
      <w:pPr>
        <w:spacing w:after="120"/>
        <w:jc w:val="both"/>
      </w:pPr>
      <w:r>
        <w:rPr>
          <w:rFonts w:ascii="Arial" w:cs="Arial" w:eastAsia="Arial" w:hAnsi="Arial"/>
          <w:color w:val="1F2937"/>
          <w:sz w:val="20"/>
          <w:szCs w:val="20"/>
        </w:rPr>
        <w:t xml:space="preserve">Premier I validated this architecture: the core FoF sleeve stands at 1.27x cap-adjusted TVPI (top quartile Carta benchmark) while the satellite sleeve generated 7.33x cap-adjusted TVPI on direct positions sourced through the Decile network. Combined, Premier I stands at 1.75x, above the 90th percentile on a value-weighted vintage basis. Premier II targets 5x TVPI.</w:t>
      </w:r>
    </w:p>
    <w:p>
      <w:r>
        <w:br w:type="page"/>
      </w:r>
    </w:p>
    <w:p>
      <w:pPr>
        <w:spacing w:after="80" w:before="320"/>
      </w:pPr>
      <w:r>
        <w:rPr>
          <w:rFonts w:ascii="Arial" w:cs="Arial" w:eastAsia="Arial" w:hAnsi="Arial"/>
          <w:b/>
          <w:bCs/>
          <w:color w:val="0066CC"/>
          <w:sz w:val="16"/>
          <w:szCs w:val="16"/>
        </w:rPr>
        <w:t xml:space="preserve">PORTFOLIO</w:t>
      </w:r>
    </w:p>
    <w:p>
      <w:pPr>
        <w:pStyle w:val="Heading1"/>
        <w:spacing w:after="160" w:before="400"/>
      </w:pPr>
      <w:r>
        <w:rPr>
          <w:rFonts w:ascii="Arial" w:cs="Arial" w:eastAsia="Arial" w:hAnsi="Arial"/>
          <w:b/>
          <w:bCs/>
          <w:color w:val="0A1628"/>
          <w:sz w:val="36"/>
          <w:szCs w:val="36"/>
        </w:rPr>
        <w:t xml:space="preserve">Fund Investments</w:t>
      </w:r>
    </w:p>
    <w:p>
      <w:pPr>
        <w:pBdr>
          <w:bottom w:val="single" w:color="0066CC" w:sz="6" w:space="1"/>
        </w:pBdr>
        <w:spacing w:after="200" w:before="80"/>
      </w:pPr>
    </w:p>
    <w:p>
      <w:pPr>
        <w:spacing w:after="120"/>
        <w:jc w:val="both"/>
      </w:pPr>
      <w:r>
        <w:rPr>
          <w:rFonts w:ascii="Arial" w:cs="Arial" w:eastAsia="Arial" w:hAnsi="Arial"/>
          <w:color w:val="1F2937"/>
          <w:sz w:val="20"/>
          <w:szCs w:val="20"/>
        </w:rPr>
        <w:t xml:space="preserve">Premier II has committed capital to three emerging manager funds, with a fourth investment in advanced stages. Each fund was selected following full institutional due diligence. All three committed funds are pre-seed and seed stage, U.S.-focused, and operating in sectors where technical barriers to entry limit competition from generalist investors.</w:t>
      </w:r>
    </w:p>
    <w:p>
      <w:pPr>
        <w:pStyle w:val="Heading2"/>
        <w:spacing w:after="120" w:before="280"/>
      </w:pPr>
      <w:r>
        <w:rPr>
          <w:rFonts w:ascii="Arial" w:cs="Arial" w:eastAsia="Arial" w:hAnsi="Arial"/>
          <w:b/>
          <w:bCs/>
          <w:color w:val="0A1628"/>
          <w:sz w:val="26"/>
          <w:szCs w:val="26"/>
        </w:rPr>
        <w:t xml:space="preserve">Geek Ventures Fund 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374151"/>
                <w:sz w:val="18"/>
                <w:szCs w:val="18"/>
              </w:rPr>
              <w:t xml:space="preserve">Strategy</w:t>
            </w:r>
          </w:p>
        </w:tc>
        <w:tc>
          <w:tcPr>
            <w:tcW w:type="dxa" w:w="72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18"/>
                <w:szCs w:val="18"/>
              </w:rPr>
              <w:t xml:space="preserve">Pre-seed &amp; Seed · AI / Robotics · Immigrant founders</w:t>
            </w:r>
          </w:p>
        </w:tc>
      </w:tr>
      <w:tr>
        <w:tc>
          <w:tcPr>
            <w:tcW w:type="dxa" w:w="216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374151"/>
                <w:sz w:val="18"/>
                <w:szCs w:val="18"/>
              </w:rPr>
              <w:t xml:space="preserve">Fund Size</w:t>
            </w:r>
          </w:p>
        </w:tc>
        <w:tc>
          <w:tcPr>
            <w:tcW w:type="dxa" w:w="72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18"/>
                <w:szCs w:val="18"/>
              </w:rPr>
              <w:t xml:space="preserve">$25M</w:t>
            </w:r>
          </w:p>
        </w:tc>
      </w:tr>
      <w:tr>
        <w:tc>
          <w:tcPr>
            <w:tcW w:type="dxa" w:w="216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374151"/>
                <w:sz w:val="18"/>
                <w:szCs w:val="18"/>
              </w:rPr>
              <w:t xml:space="preserve">Commitment</w:t>
            </w:r>
          </w:p>
        </w:tc>
        <w:tc>
          <w:tcPr>
            <w:tcW w:type="dxa" w:w="72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18"/>
                <w:szCs w:val="18"/>
              </w:rPr>
              <w:t xml:space="preserve">$250K</w:t>
            </w:r>
          </w:p>
        </w:tc>
      </w:tr>
      <w:tr>
        <w:tc>
          <w:tcPr>
            <w:tcW w:type="dxa" w:w="216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374151"/>
                <w:sz w:val="18"/>
                <w:szCs w:val="18"/>
              </w:rPr>
              <w:t xml:space="preserve">Status</w:t>
            </w:r>
          </w:p>
        </w:tc>
        <w:tc>
          <w:tcPr>
            <w:tcW w:type="dxa" w:w="72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18"/>
                <w:szCs w:val="18"/>
              </w:rPr>
              <w:t xml:space="preserve">Committed</w:t>
            </w:r>
          </w:p>
        </w:tc>
      </w:tr>
    </w:tbl>
    <w:p>
      <w:pPr>
        <w:spacing w:after="120"/>
      </w:pPr>
      <w:r>
        <w:t xml:space="preserve"/>
      </w:r>
    </w:p>
    <w:p>
      <w:pPr>
        <w:spacing w:after="120"/>
        <w:jc w:val="both"/>
      </w:pPr>
      <w:r>
        <w:rPr>
          <w:rFonts w:ascii="Arial" w:cs="Arial" w:eastAsia="Arial" w:hAnsi="Arial"/>
          <w:color w:val="1F2937"/>
          <w:sz w:val="20"/>
          <w:szCs w:val="20"/>
        </w:rPr>
        <w:t xml:space="preserve">Thesis: Immigrant founders represent 55% of U.S. unicorns yet face systematic valuation discounts of 30–50% at entry. Geek Ventures sources exclusively within immigrant founder networks in AI and robotics, combining a proprietary community edge with rare technical diligence depth from the managing partner’s background at Google, Facebook, and Lightning AI.</w:t>
      </w:r>
    </w:p>
    <w:p>
      <w:pPr>
        <w:spacing w:after="120"/>
        <w:jc w:val="both"/>
      </w:pPr>
      <w:r>
        <w:rPr>
          <w:rFonts w:ascii="Arial" w:cs="Arial" w:eastAsia="Arial" w:hAnsi="Arial"/>
          <w:color w:val="1F2937"/>
          <w:sz w:val="20"/>
          <w:szCs w:val="20"/>
        </w:rPr>
        <w:t xml:space="preserve">Track record: Fund I ($23.7M, 2021 vintage) achieved a 50% markup rate across 56 portfolio companies with a 1.26x gross MOIC. Fund II is a same-size continuation ($25M) adding $6.8M in follow-on reserves — the key structural improvement Fund I lacked.</w:t>
      </w:r>
    </w:p>
    <w:p>
      <w:pPr>
        <w:pStyle w:val="ListParagraph"/>
        <w:numPr>
          <w:ilvl w:val="0"/>
          <w:numId w:val="2"/>
        </w:numPr>
        <w:spacing w:after="80"/>
      </w:pPr>
      <w:r>
        <w:rPr>
          <w:rFonts w:ascii="Arial" w:cs="Arial" w:eastAsia="Arial" w:hAnsi="Arial"/>
          <w:color w:val="1F2937"/>
          <w:sz w:val="20"/>
          <w:szCs w:val="20"/>
        </w:rPr>
        <w:t xml:space="preserve">50% markup rate across 56 Fund I companies · 1.26x gross MOIC</w:t>
      </w:r>
    </w:p>
    <w:p>
      <w:pPr>
        <w:pStyle w:val="ListParagraph"/>
        <w:numPr>
          <w:ilvl w:val="0"/>
          <w:numId w:val="2"/>
        </w:numPr>
        <w:spacing w:after="80"/>
      </w:pPr>
      <w:r>
        <w:rPr>
          <w:rFonts w:ascii="Arial" w:cs="Arial" w:eastAsia="Arial" w:hAnsi="Arial"/>
          <w:color w:val="1F2937"/>
          <w:sz w:val="20"/>
          <w:szCs w:val="20"/>
        </w:rPr>
        <w:t xml:space="preserve">Technical diligence depth in AI/robotics unavailable to generalist seed investors</w:t>
      </w:r>
    </w:p>
    <w:p>
      <w:pPr>
        <w:pStyle w:val="ListParagraph"/>
        <w:numPr>
          <w:ilvl w:val="0"/>
          <w:numId w:val="2"/>
        </w:numPr>
        <w:spacing w:after="80"/>
      </w:pPr>
      <w:r>
        <w:rPr>
          <w:rFonts w:ascii="Arial" w:cs="Arial" w:eastAsia="Arial" w:hAnsi="Arial"/>
          <w:color w:val="1F2937"/>
          <w:sz w:val="20"/>
          <w:szCs w:val="20"/>
        </w:rPr>
        <w:t xml:space="preserve">No scaling risk: Fund II is 5% larger than Fund I — proven operational scale</w:t>
      </w:r>
    </w:p>
    <w:p>
      <w:pPr>
        <w:pStyle w:val="ListParagraph"/>
        <w:numPr>
          <w:ilvl w:val="0"/>
          <w:numId w:val="2"/>
        </w:numPr>
        <w:spacing w:after="80"/>
      </w:pPr>
      <w:r>
        <w:rPr>
          <w:rFonts w:ascii="Arial" w:cs="Arial" w:eastAsia="Arial" w:hAnsi="Arial"/>
          <w:color w:val="1F2937"/>
          <w:sz w:val="20"/>
          <w:szCs w:val="20"/>
        </w:rPr>
        <w:t xml:space="preserve">Co-investment rights offered to Premier LPs</w:t>
      </w:r>
    </w:p>
    <w:p>
      <w:pPr>
        <w:spacing w:after="120"/>
      </w:pPr>
      <w:r>
        <w:t xml:space="preserve"/>
      </w:r>
    </w:p>
    <w:p>
      <w:pPr>
        <w:pStyle w:val="Heading2"/>
        <w:spacing w:after="120" w:before="280"/>
      </w:pPr>
      <w:r>
        <w:rPr>
          <w:rFonts w:ascii="Arial" w:cs="Arial" w:eastAsia="Arial" w:hAnsi="Arial"/>
          <w:b/>
          <w:bCs/>
          <w:color w:val="0A1628"/>
          <w:sz w:val="26"/>
          <w:szCs w:val="26"/>
        </w:rPr>
        <w:t xml:space="preserve">Hallstone Ventures Fund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374151"/>
                <w:sz w:val="18"/>
                <w:szCs w:val="18"/>
              </w:rPr>
              <w:t xml:space="preserve">Strategy</w:t>
            </w:r>
          </w:p>
        </w:tc>
        <w:tc>
          <w:tcPr>
            <w:tcW w:type="dxa" w:w="72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18"/>
                <w:szCs w:val="18"/>
              </w:rPr>
              <w:t xml:space="preserve">Pre-seed &amp; Seed · AI-driven Media &amp; Entertainment Infrastructure</w:t>
            </w:r>
          </w:p>
        </w:tc>
      </w:tr>
      <w:tr>
        <w:tc>
          <w:tcPr>
            <w:tcW w:type="dxa" w:w="216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374151"/>
                <w:sz w:val="18"/>
                <w:szCs w:val="18"/>
              </w:rPr>
              <w:t xml:space="preserve">Fund Size</w:t>
            </w:r>
          </w:p>
        </w:tc>
        <w:tc>
          <w:tcPr>
            <w:tcW w:type="dxa" w:w="72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18"/>
                <w:szCs w:val="18"/>
              </w:rPr>
              <w:t xml:space="preserve">$10M</w:t>
            </w:r>
          </w:p>
        </w:tc>
      </w:tr>
      <w:tr>
        <w:tc>
          <w:tcPr>
            <w:tcW w:type="dxa" w:w="216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374151"/>
                <w:sz w:val="18"/>
                <w:szCs w:val="18"/>
              </w:rPr>
              <w:t xml:space="preserve">Commitment</w:t>
            </w:r>
          </w:p>
        </w:tc>
        <w:tc>
          <w:tcPr>
            <w:tcW w:type="dxa" w:w="72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18"/>
                <w:szCs w:val="18"/>
              </w:rPr>
              <w:t xml:space="preserve">$250K</w:t>
            </w:r>
          </w:p>
        </w:tc>
      </w:tr>
      <w:tr>
        <w:tc>
          <w:tcPr>
            <w:tcW w:type="dxa" w:w="216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374151"/>
                <w:sz w:val="18"/>
                <w:szCs w:val="18"/>
              </w:rPr>
              <w:t xml:space="preserve">Status</w:t>
            </w:r>
          </w:p>
        </w:tc>
        <w:tc>
          <w:tcPr>
            <w:tcW w:type="dxa" w:w="72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18"/>
                <w:szCs w:val="18"/>
              </w:rPr>
              <w:t xml:space="preserve">Committed</w:t>
            </w:r>
          </w:p>
        </w:tc>
      </w:tr>
    </w:tbl>
    <w:p>
      <w:pPr>
        <w:spacing w:after="120"/>
      </w:pPr>
      <w:r>
        <w:t xml:space="preserve"/>
      </w:r>
    </w:p>
    <w:p>
      <w:pPr>
        <w:spacing w:after="120"/>
        <w:jc w:val="both"/>
      </w:pPr>
      <w:r>
        <w:rPr>
          <w:rFonts w:ascii="Arial" w:cs="Arial" w:eastAsia="Arial" w:hAnsi="Arial"/>
          <w:color w:val="1F2937"/>
          <w:sz w:val="20"/>
          <w:szCs w:val="20"/>
        </w:rPr>
        <w:t xml:space="preserve">Thesis: Fewer than 10 seed funds globally hold a dedicated Media &amp; Entertainment infrastructure mandate. Hallstone invests in picks-and-shovels software powering creators, advertisers, and distributors — not content, not slates. The LP base includes current senior technology executives at every major Hollywood studio and streaming platform, functioning simultaneously as deal flow sources, customer validators, and potential acquirers.</w:t>
      </w:r>
    </w:p>
    <w:p>
      <w:pPr>
        <w:spacing w:after="120"/>
        <w:jc w:val="both"/>
      </w:pPr>
      <w:r>
        <w:rPr>
          <w:rFonts w:ascii="Arial" w:cs="Arial" w:eastAsia="Arial" w:hAnsi="Arial"/>
          <w:color w:val="1F2937"/>
          <w:sz w:val="20"/>
          <w:szCs w:val="20"/>
        </w:rPr>
        <w:t xml:space="preserve">Differentiated access: The managing partner spent a decade as president of the Hollywood Professional Association, building a 1,200+ executive network. A venture partner chairs MovieLabs — the R&amp;D consortium owned by all five major studios — providing direct visibility into studio technology procurement and M&amp;A pipelines. Two in-thesis angel investments show a 15x and a 4x implied markup respectively (both unrealised).</w:t>
      </w:r>
    </w:p>
    <w:p>
      <w:pPr>
        <w:pStyle w:val="ListParagraph"/>
        <w:numPr>
          <w:ilvl w:val="0"/>
          <w:numId w:val="2"/>
        </w:numPr>
        <w:spacing w:after="80"/>
      </w:pPr>
      <w:r>
        <w:rPr>
          <w:rFonts w:ascii="Arial" w:cs="Arial" w:eastAsia="Arial" w:hAnsi="Arial"/>
          <w:color w:val="1F2937"/>
          <w:sz w:val="20"/>
          <w:szCs w:val="20"/>
        </w:rPr>
        <w:t xml:space="preserve">Strategic LP base: Disney, Netflix, Apple TV+, Amazon MGM, Pixar, Fox, AWS</w:t>
      </w:r>
    </w:p>
    <w:p>
      <w:pPr>
        <w:pStyle w:val="ListParagraph"/>
        <w:numPr>
          <w:ilvl w:val="0"/>
          <w:numId w:val="2"/>
        </w:numPr>
        <w:spacing w:after="80"/>
      </w:pPr>
      <w:r>
        <w:rPr>
          <w:rFonts w:ascii="Arial" w:cs="Arial" w:eastAsia="Arial" w:hAnsi="Arial"/>
          <w:color w:val="1F2937"/>
          <w:sz w:val="20"/>
          <w:szCs w:val="20"/>
        </w:rPr>
        <w:t xml:space="preserve">MovieLabs chairmanship: studio M&amp;A pipeline built into the fund structure</w:t>
      </w:r>
    </w:p>
    <w:p>
      <w:pPr>
        <w:pStyle w:val="ListParagraph"/>
        <w:numPr>
          <w:ilvl w:val="0"/>
          <w:numId w:val="2"/>
        </w:numPr>
        <w:spacing w:after="80"/>
      </w:pPr>
      <w:r>
        <w:rPr>
          <w:rFonts w:ascii="Arial" w:cs="Arial" w:eastAsia="Arial" w:hAnsi="Arial"/>
          <w:color w:val="1F2937"/>
          <w:sz w:val="20"/>
          <w:szCs w:val="20"/>
        </w:rPr>
        <w:t xml:space="preserve">Fewer than 10 direct global competitors at seed stage in this mandate</w:t>
      </w:r>
    </w:p>
    <w:p>
      <w:pPr>
        <w:pStyle w:val="ListParagraph"/>
        <w:numPr>
          <w:ilvl w:val="0"/>
          <w:numId w:val="2"/>
        </w:numPr>
        <w:spacing w:after="80"/>
      </w:pPr>
      <w:r>
        <w:rPr>
          <w:rFonts w:ascii="Arial" w:cs="Arial" w:eastAsia="Arial" w:hAnsi="Arial"/>
          <w:color w:val="1F2937"/>
          <w:sz w:val="20"/>
          <w:szCs w:val="20"/>
        </w:rPr>
        <w:t xml:space="preserve">15x implied markup on lead in-thesis angel investment (unrealised)</w:t>
      </w:r>
    </w:p>
    <w:p>
      <w:pPr>
        <w:spacing w:after="120"/>
      </w:pPr>
      <w:r>
        <w:t xml:space="preserve"/>
      </w:r>
    </w:p>
    <w:p>
      <w:pPr>
        <w:pStyle w:val="Heading2"/>
        <w:spacing w:after="120" w:before="280"/>
      </w:pPr>
      <w:r>
        <w:rPr>
          <w:rFonts w:ascii="Arial" w:cs="Arial" w:eastAsia="Arial" w:hAnsi="Arial"/>
          <w:b/>
          <w:bCs/>
          <w:color w:val="0A1628"/>
          <w:sz w:val="26"/>
          <w:szCs w:val="26"/>
        </w:rPr>
        <w:t xml:space="preserve">Prana Tech Ventures Fund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374151"/>
                <w:sz w:val="18"/>
                <w:szCs w:val="18"/>
              </w:rPr>
              <w:t xml:space="preserve">Strategy</w:t>
            </w:r>
          </w:p>
        </w:tc>
        <w:tc>
          <w:tcPr>
            <w:tcW w:type="dxa" w:w="72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18"/>
                <w:szCs w:val="18"/>
              </w:rPr>
              <w:t xml:space="preserve">Pre-seed &amp; Seed · Cybersecurity · Healthtech / Medtech · Vertical AI</w:t>
            </w:r>
          </w:p>
        </w:tc>
      </w:tr>
      <w:tr>
        <w:tc>
          <w:tcPr>
            <w:tcW w:type="dxa" w:w="216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374151"/>
                <w:sz w:val="18"/>
                <w:szCs w:val="18"/>
              </w:rPr>
              <w:t xml:space="preserve">Fund Size</w:t>
            </w:r>
          </w:p>
        </w:tc>
        <w:tc>
          <w:tcPr>
            <w:tcW w:type="dxa" w:w="72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18"/>
                <w:szCs w:val="18"/>
              </w:rPr>
              <w:t xml:space="preserve">$10M</w:t>
            </w:r>
          </w:p>
        </w:tc>
      </w:tr>
      <w:tr>
        <w:tc>
          <w:tcPr>
            <w:tcW w:type="dxa" w:w="216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374151"/>
                <w:sz w:val="18"/>
                <w:szCs w:val="18"/>
              </w:rPr>
              <w:t xml:space="preserve">Commitment</w:t>
            </w:r>
          </w:p>
        </w:tc>
        <w:tc>
          <w:tcPr>
            <w:tcW w:type="dxa" w:w="72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18"/>
                <w:szCs w:val="18"/>
              </w:rPr>
              <w:t xml:space="preserve">$250K</w:t>
            </w:r>
          </w:p>
        </w:tc>
      </w:tr>
      <w:tr>
        <w:tc>
          <w:tcPr>
            <w:tcW w:type="dxa" w:w="216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374151"/>
                <w:sz w:val="18"/>
                <w:szCs w:val="18"/>
              </w:rPr>
              <w:t xml:space="preserve">Status</w:t>
            </w:r>
          </w:p>
        </w:tc>
        <w:tc>
          <w:tcPr>
            <w:tcW w:type="dxa" w:w="72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18"/>
                <w:szCs w:val="18"/>
              </w:rPr>
              <w:t xml:space="preserve">Committed</w:t>
            </w:r>
          </w:p>
        </w:tc>
      </w:tr>
    </w:tbl>
    <w:p>
      <w:pPr>
        <w:spacing w:after="120"/>
      </w:pPr>
      <w:r>
        <w:t xml:space="preserve"/>
      </w:r>
    </w:p>
    <w:p>
      <w:pPr>
        <w:spacing w:after="120"/>
        <w:jc w:val="both"/>
      </w:pPr>
      <w:r>
        <w:rPr>
          <w:rFonts w:ascii="Arial" w:cs="Arial" w:eastAsia="Arial" w:hAnsi="Arial"/>
          <w:color w:val="1F2937"/>
          <w:sz w:val="20"/>
          <w:szCs w:val="20"/>
        </w:rPr>
        <w:t xml:space="preserve">Thesis: Deep tech sectors require domain expertise that generalist seed investors cannot replicate. Prana sources exclusively through DoD, National Security Innovation Network, Columbia Business School, and MIT partnerships — a closed ecosystem of national security and dual-use technology unavailable to most seed funds.</w:t>
      </w:r>
    </w:p>
    <w:p>
      <w:pPr>
        <w:spacing w:after="120"/>
        <w:jc w:val="both"/>
      </w:pPr>
      <w:r>
        <w:rPr>
          <w:rFonts w:ascii="Arial" w:cs="Arial" w:eastAsia="Arial" w:hAnsi="Arial"/>
          <w:color w:val="1F2937"/>
          <w:sz w:val="20"/>
          <w:szCs w:val="20"/>
        </w:rPr>
        <w:t xml:space="preserve">GP alignment and track record: The managing partner brings 30 years of cybersecurity and national security operating experience, including a 10x exit to a global PE firm at 46% IRR and a 42% angel exit rate across 12 investments — materially above the 10–20% industry norm. The advisory board includes former CIA CIO, former Pentagon CIO, and former Cisco CTO Global Government. The GP commits 12.5% of fund from personal capital — 5–10x industry standard.</w:t>
      </w:r>
    </w:p>
    <w:p>
      <w:pPr>
        <w:pStyle w:val="ListParagraph"/>
        <w:numPr>
          <w:ilvl w:val="0"/>
          <w:numId w:val="2"/>
        </w:numPr>
        <w:spacing w:after="80"/>
      </w:pPr>
      <w:r>
        <w:rPr>
          <w:rFonts w:ascii="Arial" w:cs="Arial" w:eastAsia="Arial" w:hAnsi="Arial"/>
          <w:color w:val="1F2937"/>
          <w:sz w:val="20"/>
          <w:szCs w:val="20"/>
        </w:rPr>
        <w:t xml:space="preserve">Proprietary sourcing: DoD, NSIN, Columbia, MIT — closed ecosystem generalists cannot access</w:t>
      </w:r>
    </w:p>
    <w:p>
      <w:pPr>
        <w:pStyle w:val="ListParagraph"/>
        <w:numPr>
          <w:ilvl w:val="0"/>
          <w:numId w:val="2"/>
        </w:numPr>
        <w:spacing w:after="80"/>
      </w:pPr>
      <w:r>
        <w:rPr>
          <w:rFonts w:ascii="Arial" w:cs="Arial" w:eastAsia="Arial" w:hAnsi="Arial"/>
          <w:color w:val="1F2937"/>
          <w:sz w:val="20"/>
          <w:szCs w:val="20"/>
        </w:rPr>
        <w:t xml:space="preserve">42% angel exit rate · 10x PE exit at 46% IRR</w:t>
      </w:r>
    </w:p>
    <w:p>
      <w:pPr>
        <w:pStyle w:val="ListParagraph"/>
        <w:numPr>
          <w:ilvl w:val="0"/>
          <w:numId w:val="2"/>
        </w:numPr>
        <w:spacing w:after="80"/>
      </w:pPr>
      <w:r>
        <w:rPr>
          <w:rFonts w:ascii="Arial" w:cs="Arial" w:eastAsia="Arial" w:hAnsi="Arial"/>
          <w:color w:val="1F2937"/>
          <w:sz w:val="20"/>
          <w:szCs w:val="20"/>
        </w:rPr>
        <w:t xml:space="preserve">12.5% GP commitment: $1.25M personal capital at risk</w:t>
      </w:r>
    </w:p>
    <w:p>
      <w:pPr>
        <w:pStyle w:val="ListParagraph"/>
        <w:numPr>
          <w:ilvl w:val="0"/>
          <w:numId w:val="2"/>
        </w:numPr>
        <w:spacing w:after="80"/>
      </w:pPr>
      <w:r>
        <w:rPr>
          <w:rFonts w:ascii="Arial" w:cs="Arial" w:eastAsia="Arial" w:hAnsi="Arial"/>
          <w:color w:val="1F2937"/>
          <w:sz w:val="20"/>
          <w:szCs w:val="20"/>
        </w:rPr>
        <w:t xml:space="preserve">Pentagon and intelligence community advisory bench</w:t>
      </w:r>
    </w:p>
    <w:p>
      <w:r>
        <w:br w:type="page"/>
      </w:r>
    </w:p>
    <w:p>
      <w:pPr>
        <w:spacing w:after="80" w:before="320"/>
      </w:pPr>
      <w:r>
        <w:rPr>
          <w:rFonts w:ascii="Arial" w:cs="Arial" w:eastAsia="Arial" w:hAnsi="Arial"/>
          <w:b/>
          <w:bCs/>
          <w:color w:val="0066CC"/>
          <w:sz w:val="16"/>
          <w:szCs w:val="16"/>
        </w:rPr>
        <w:t xml:space="preserve">UPCOMING INVESTMENT</w:t>
      </w:r>
    </w:p>
    <w:p>
      <w:pPr>
        <w:pStyle w:val="Heading1"/>
        <w:spacing w:after="160" w:before="400"/>
      </w:pPr>
      <w:r>
        <w:rPr>
          <w:rFonts w:ascii="Arial" w:cs="Arial" w:eastAsia="Arial" w:hAnsi="Arial"/>
          <w:b/>
          <w:bCs/>
          <w:color w:val="0A1628"/>
          <w:sz w:val="36"/>
          <w:szCs w:val="36"/>
        </w:rPr>
        <w:t xml:space="preserve">Blue Moon Ventures Fund II</w:t>
      </w:r>
    </w:p>
    <w:p>
      <w:pPr>
        <w:pBdr>
          <w:bottom w:val="single" w:color="0066CC" w:sz="6" w:space="1"/>
        </w:pBdr>
        <w:spacing w:after="2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374151"/>
                <w:sz w:val="18"/>
                <w:szCs w:val="18"/>
              </w:rPr>
              <w:t xml:space="preserve">Strategy</w:t>
            </w:r>
          </w:p>
        </w:tc>
        <w:tc>
          <w:tcPr>
            <w:tcW w:type="dxa" w:w="72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18"/>
                <w:szCs w:val="18"/>
              </w:rPr>
              <w:t xml:space="preserve">Seed &amp; Pre-Seed · Vertical AI · Cybersecurity · Healthtech · B2B North America</w:t>
            </w:r>
          </w:p>
        </w:tc>
      </w:tr>
      <w:tr>
        <w:tc>
          <w:tcPr>
            <w:tcW w:type="dxa" w:w="216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374151"/>
                <w:sz w:val="18"/>
                <w:szCs w:val="18"/>
              </w:rPr>
              <w:t xml:space="preserve">Fund Size</w:t>
            </w:r>
          </w:p>
        </w:tc>
        <w:tc>
          <w:tcPr>
            <w:tcW w:type="dxa" w:w="72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18"/>
                <w:szCs w:val="18"/>
              </w:rPr>
              <w:t xml:space="preserve">$35M target</w:t>
            </w:r>
          </w:p>
        </w:tc>
      </w:tr>
      <w:tr>
        <w:tc>
          <w:tcPr>
            <w:tcW w:type="dxa" w:w="216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374151"/>
                <w:sz w:val="18"/>
                <w:szCs w:val="18"/>
              </w:rPr>
              <w:t xml:space="preserve">Commitment</w:t>
            </w:r>
          </w:p>
        </w:tc>
        <w:tc>
          <w:tcPr>
            <w:tcW w:type="dxa" w:w="72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18"/>
                <w:szCs w:val="18"/>
              </w:rPr>
              <w:t xml:space="preserve">$250K initial · up to $1M total exposure</w:t>
            </w:r>
          </w:p>
        </w:tc>
      </w:tr>
      <w:tr>
        <w:tc>
          <w:tcPr>
            <w:tcW w:type="dxa" w:w="216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374151"/>
                <w:sz w:val="18"/>
                <w:szCs w:val="18"/>
              </w:rPr>
              <w:t xml:space="preserve">Status</w:t>
            </w:r>
          </w:p>
        </w:tc>
        <w:tc>
          <w:tcPr>
            <w:tcW w:type="dxa" w:w="72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18"/>
                <w:szCs w:val="18"/>
              </w:rPr>
              <w:t xml:space="preserve">Advanced stages · expected Q2/Q3 2026</w:t>
            </w:r>
          </w:p>
        </w:tc>
      </w:tr>
    </w:tbl>
    <w:p>
      <w:pPr>
        <w:spacing w:after="120"/>
      </w:pPr>
      <w:r>
        <w:t xml:space="preserve"/>
      </w:r>
    </w:p>
    <w:p>
      <w:pPr>
        <w:spacing w:after="120"/>
        <w:jc w:val="both"/>
      </w:pPr>
      <w:r>
        <w:rPr>
          <w:rFonts w:ascii="Arial" w:cs="Arial" w:eastAsia="Arial" w:hAnsi="Arial"/>
          <w:color w:val="1F2937"/>
          <w:sz w:val="20"/>
          <w:szCs w:val="20"/>
        </w:rPr>
        <w:t xml:space="preserve">Blue Moon represents the most compelling evidence-based emerging manager opportunity reviewed to date. Fund I ($7M, 2021 vintage) achieved a #1 ranking among 1,952 U.S. emerging manager funds in its vintage on Carta — confirmed by the Carta Head of Insights by name. The fund is actively returning LP capital through secondary distributions, with three confirmed acquisitions at 2x, 1.7x, and 3.1x MOIC. Key Fund I outcomes include a decacorn ($10B valuation, Benchmark-led Series B), a unicorn ($1.1B), and a company at $10M+ ARR with 236% net revenue retention. Vintage Series A graduation rates of 50%, 44%, and 37% across three cohorts all exceed the 15–25% industry benchmark.</w:t>
      </w:r>
    </w:p>
    <w:p>
      <w:pPr>
        <w:pStyle w:val="Heading2"/>
        <w:spacing w:after="120" w:before="280"/>
      </w:pPr>
      <w:r>
        <w:rPr>
          <w:rFonts w:ascii="Arial" w:cs="Arial" w:eastAsia="Arial" w:hAnsi="Arial"/>
          <w:b/>
          <w:bCs/>
          <w:color w:val="0A1628"/>
          <w:sz w:val="26"/>
          <w:szCs w:val="26"/>
        </w:rPr>
        <w:t xml:space="preserve">The AI Operating System</w:t>
      </w:r>
    </w:p>
    <w:p>
      <w:pPr>
        <w:spacing w:after="120"/>
        <w:jc w:val="both"/>
      </w:pPr>
      <w:r>
        <w:rPr>
          <w:rFonts w:ascii="Arial" w:cs="Arial" w:eastAsia="Arial" w:hAnsi="Arial"/>
          <w:color w:val="1F2937"/>
          <w:sz w:val="20"/>
          <w:szCs w:val="20"/>
        </w:rPr>
        <w:t xml:space="preserve">Blue Moon has built and fully deployed a proprietary AI operating system across the full investment lifecycle. Five purpose-built agents — Agatha (sourcing and scoring), Blue (market analysis), Slash (operations and introductions), Kojak (portfolio monitoring), and Sherpa (founder support) — collectively sourced 6,194 companies in Q1 2026 alone, on pace for 20,000+ annually. This infrastructure represents a structural moat no traditional VC can replicate without equivalent investment.</w:t>
      </w:r>
    </w:p>
    <w:p>
      <w:pPr>
        <w:pStyle w:val="ListParagraph"/>
        <w:numPr>
          <w:ilvl w:val="0"/>
          <w:numId w:val="2"/>
        </w:numPr>
        <w:spacing w:after="80"/>
      </w:pPr>
      <w:r>
        <w:rPr>
          <w:rFonts w:ascii="Arial" w:cs="Arial" w:eastAsia="Arial" w:hAnsi="Arial"/>
          <w:color w:val="1F2937"/>
          <w:sz w:val="20"/>
          <w:szCs w:val="20"/>
        </w:rPr>
        <w:t xml:space="preserve">#1 Carta ranking · 1,952 U.S. emerging manager funds · 2021 vintage</w:t>
      </w:r>
    </w:p>
    <w:p>
      <w:pPr>
        <w:pStyle w:val="ListParagraph"/>
        <w:numPr>
          <w:ilvl w:val="0"/>
          <w:numId w:val="2"/>
        </w:numPr>
        <w:spacing w:after="80"/>
      </w:pPr>
      <w:r>
        <w:rPr>
          <w:rFonts w:ascii="Arial" w:cs="Arial" w:eastAsia="Arial" w:hAnsi="Arial"/>
          <w:color w:val="1F2937"/>
          <w:sz w:val="20"/>
          <w:szCs w:val="20"/>
        </w:rPr>
        <w:t xml:space="preserve">1.4x DPI in process of being returned — rare for a fund of this age and size</w:t>
      </w:r>
    </w:p>
    <w:p>
      <w:pPr>
        <w:pStyle w:val="ListParagraph"/>
        <w:numPr>
          <w:ilvl w:val="0"/>
          <w:numId w:val="2"/>
        </w:numPr>
        <w:spacing w:after="80"/>
      </w:pPr>
      <w:r>
        <w:rPr>
          <w:rFonts w:ascii="Arial" w:cs="Arial" w:eastAsia="Arial" w:hAnsi="Arial"/>
          <w:color w:val="1F2937"/>
          <w:sz w:val="20"/>
          <w:szCs w:val="20"/>
        </w:rPr>
        <w:t xml:space="preserve">Fund II already co-invested with Tier 1 funds at $10M AUM</w:t>
      </w:r>
    </w:p>
    <w:p>
      <w:pPr>
        <w:pStyle w:val="ListParagraph"/>
        <w:numPr>
          <w:ilvl w:val="0"/>
          <w:numId w:val="2"/>
        </w:numPr>
        <w:spacing w:after="80"/>
      </w:pPr>
      <w:r>
        <w:rPr>
          <w:rFonts w:ascii="Arial" w:cs="Arial" w:eastAsia="Arial" w:hAnsi="Arial"/>
          <w:color w:val="1F2937"/>
          <w:sz w:val="20"/>
          <w:szCs w:val="20"/>
        </w:rPr>
        <w:t xml:space="preserve">Whole-fund waterfall with personal GP clawback guarantee — most LP-protective structure available</w:t>
      </w:r>
    </w:p>
    <w:p>
      <w:pPr>
        <w:pStyle w:val="ListParagraph"/>
        <w:numPr>
          <w:ilvl w:val="0"/>
          <w:numId w:val="2"/>
        </w:numPr>
        <w:spacing w:after="80"/>
      </w:pPr>
      <w:r>
        <w:rPr>
          <w:rFonts w:ascii="Arial" w:cs="Arial" w:eastAsia="Arial" w:hAnsi="Arial"/>
          <w:color w:val="1F2937"/>
          <w:sz w:val="20"/>
          <w:szCs w:val="20"/>
        </w:rPr>
        <w:t xml:space="preserve">Direct deal pipeline: Agatha surfaces 20,000+ companies annually — potential co-investment source for Premier II satellite sleeve</w:t>
      </w:r>
    </w:p>
    <w:p>
      <w:r>
        <w:br w:type="page"/>
      </w:r>
    </w:p>
    <w:p>
      <w:pPr>
        <w:spacing w:after="80" w:before="320"/>
      </w:pPr>
      <w:r>
        <w:rPr>
          <w:rFonts w:ascii="Arial" w:cs="Arial" w:eastAsia="Arial" w:hAnsi="Arial"/>
          <w:b/>
          <w:bCs/>
          <w:color w:val="0066CC"/>
          <w:sz w:val="16"/>
          <w:szCs w:val="16"/>
        </w:rPr>
        <w:t xml:space="preserve">MARKET CONTEXT</w:t>
      </w:r>
    </w:p>
    <w:p>
      <w:pPr>
        <w:pStyle w:val="Heading1"/>
        <w:spacing w:after="160" w:before="400"/>
      </w:pPr>
      <w:r>
        <w:rPr>
          <w:rFonts w:ascii="Arial" w:cs="Arial" w:eastAsia="Arial" w:hAnsi="Arial"/>
          <w:b/>
          <w:bCs/>
          <w:color w:val="0A1628"/>
          <w:sz w:val="36"/>
          <w:szCs w:val="36"/>
        </w:rPr>
        <w:t xml:space="preserve">Why Emerging Managers, Why Now</w:t>
      </w:r>
    </w:p>
    <w:p>
      <w:pPr>
        <w:pBdr>
          <w:bottom w:val="single" w:color="0066CC" w:sz="6" w:space="1"/>
        </w:pBdr>
        <w:spacing w:after="200" w:before="80"/>
      </w:pPr>
    </w:p>
    <w:p>
      <w:pPr>
        <w:spacing w:after="120"/>
        <w:jc w:val="both"/>
      </w:pPr>
      <w:r>
        <w:rPr>
          <w:rFonts w:ascii="Arial" w:cs="Arial" w:eastAsia="Arial" w:hAnsi="Arial"/>
          <w:color w:val="1F2937"/>
          <w:sz w:val="20"/>
          <w:szCs w:val="20"/>
        </w:rPr>
        <w:t xml:space="preserve">The venture capital environment continues to offer compelling entry conditions for disciplined emerging manager investors. Early-stage funding valuations remain rational, AI infrastructure investment is accelerating dramatically, and enterprise adoption has created unprecedented demand for B2B software across regulated verticals including cybersecurity, healthcare, and media.</w:t>
      </w:r>
    </w:p>
    <w:p>
      <w:pPr>
        <w:pStyle w:val="Heading2"/>
        <w:spacing w:after="120" w:before="280"/>
      </w:pPr>
      <w:r>
        <w:rPr>
          <w:rFonts w:ascii="Arial" w:cs="Arial" w:eastAsia="Arial" w:hAnsi="Arial"/>
          <w:b/>
          <w:bCs/>
          <w:color w:val="0A1628"/>
          <w:sz w:val="26"/>
          <w:szCs w:val="26"/>
        </w:rPr>
        <w:t xml:space="preserve">Why Emerging Managers Through Premier II</w:t>
      </w:r>
    </w:p>
    <w:p>
      <w:pPr>
        <w:spacing w:after="120"/>
        <w:jc w:val="both"/>
      </w:pPr>
      <w:r>
        <w:rPr>
          <w:rFonts w:ascii="Arial" w:cs="Arial" w:eastAsia="Arial" w:hAnsi="Arial"/>
          <w:color w:val="1F2937"/>
          <w:sz w:val="20"/>
          <w:szCs w:val="20"/>
        </w:rPr>
        <w:t xml:space="preserve">Of 300+ managers evaluated since fund inception, a curated selection were chosen — providing diversified exposure to top-decile emerging managers through a single investment vehicle, versus the $1.5–5M minimum per fund required to replicate this independently. Premier II accesses managers operating in sectors with genuine technical barriers to entry: national security and dual-use technology, Media &amp; Entertainment infrastructure, and AI/robotics for underserved founder demographics.</w:t>
      </w:r>
    </w:p>
    <w:p>
      <w:pPr>
        <w:pStyle w:val="ListParagraph"/>
        <w:numPr>
          <w:ilvl w:val="0"/>
          <w:numId w:val="2"/>
        </w:numPr>
        <w:spacing w:after="80"/>
      </w:pPr>
      <w:r>
        <w:rPr>
          <w:rFonts w:ascii="Arial" w:cs="Arial" w:eastAsia="Arial" w:hAnsi="Arial"/>
          <w:color w:val="1F2937"/>
          <w:sz w:val="20"/>
          <w:szCs w:val="20"/>
        </w:rPr>
        <w:t xml:space="preserve">Access: diversified exposure to top-decile managers through one commitment</w:t>
      </w:r>
    </w:p>
    <w:p>
      <w:pPr>
        <w:pStyle w:val="ListParagraph"/>
        <w:numPr>
          <w:ilvl w:val="0"/>
          <w:numId w:val="2"/>
        </w:numPr>
        <w:spacing w:after="80"/>
      </w:pPr>
      <w:r>
        <w:rPr>
          <w:rFonts w:ascii="Arial" w:cs="Arial" w:eastAsia="Arial" w:hAnsi="Arial"/>
          <w:color w:val="1F2937"/>
          <w:sz w:val="20"/>
          <w:szCs w:val="20"/>
        </w:rPr>
        <w:t xml:space="preserve">Economics: no double carry — single fee layer across both sleeves</w:t>
      </w:r>
    </w:p>
    <w:p>
      <w:pPr>
        <w:pStyle w:val="ListParagraph"/>
        <w:numPr>
          <w:ilvl w:val="0"/>
          <w:numId w:val="2"/>
        </w:numPr>
        <w:spacing w:after="80"/>
      </w:pPr>
      <w:r>
        <w:rPr>
          <w:rFonts w:ascii="Arial" w:cs="Arial" w:eastAsia="Arial" w:hAnsi="Arial"/>
          <w:color w:val="1F2937"/>
          <w:sz w:val="20"/>
          <w:szCs w:val="20"/>
        </w:rPr>
        <w:t xml:space="preserve">Sourcing edge: 30,000+ manager pipeline · Decile platform · proprietary data on 2,500+ funds</w:t>
      </w:r>
    </w:p>
    <w:p>
      <w:pPr>
        <w:pStyle w:val="ListParagraph"/>
        <w:numPr>
          <w:ilvl w:val="0"/>
          <w:numId w:val="2"/>
        </w:numPr>
        <w:spacing w:after="80"/>
      </w:pPr>
      <w:r>
        <w:rPr>
          <w:rFonts w:ascii="Arial" w:cs="Arial" w:eastAsia="Arial" w:hAnsi="Arial"/>
          <w:color w:val="1F2937"/>
          <w:sz w:val="20"/>
          <w:szCs w:val="20"/>
        </w:rPr>
        <w:t xml:space="preserve">Direct sleeve: co-investment rights at same terms · no SPV fees · scarce allocation access</w:t>
      </w:r>
    </w:p>
    <w:p>
      <w:pPr>
        <w:pStyle w:val="Heading2"/>
        <w:spacing w:after="120" w:before="280"/>
      </w:pPr>
      <w:r>
        <w:rPr>
          <w:rFonts w:ascii="Arial" w:cs="Arial" w:eastAsia="Arial" w:hAnsi="Arial"/>
          <w:b/>
          <w:bCs/>
          <w:color w:val="0A1628"/>
          <w:sz w:val="26"/>
          <w:szCs w:val="26"/>
        </w:rPr>
        <w:t xml:space="preserve">The Wagon Master Principle</w:t>
      </w:r>
    </w:p>
    <w:p>
      <w:pPr>
        <w:spacing w:after="120"/>
        <w:jc w:val="both"/>
      </w:pPr>
      <w:r>
        <w:rPr>
          <w:rFonts w:ascii="Arial" w:cs="Arial" w:eastAsia="Arial" w:hAnsi="Arial"/>
          <w:color w:val="1F2937"/>
          <w:sz w:val="20"/>
          <w:szCs w:val="20"/>
        </w:rPr>
        <w:t xml:space="preserve">Premier II is managed with a philosophy borrowed not from venture orthodoxy but from the patient capital tradition of Buffett and Munger. The fund does not aim to make money by buying and selling. It aims to make money by waiting — intelligently. Our favourite holding period is forever. A long VC waiting period is not a bug. It is the feature.</w:t>
      </w:r>
    </w:p>
    <w:p>
      <w:pPr>
        <w:spacing w:after="120"/>
        <w:jc w:val="both"/>
      </w:pPr>
      <w:r>
        <w:rPr>
          <w:rFonts w:ascii="Arial" w:cs="Arial" w:eastAsia="Arial" w:hAnsi="Arial"/>
          <w:color w:val="1F2937"/>
          <w:sz w:val="20"/>
          <w:szCs w:val="20"/>
        </w:rPr>
        <w:t xml:space="preserve">We do not think of ourselves as portfolio managers. We think like wagon masters: we select the best captains for a hard journey, give them the autonomy to lead, and keep the convoy moving when the trail gets rough. The GPs we back know their terrain better than anyone. Our job is to find them early, back them with conviction, and let compounding do the rest.</w:t>
      </w:r>
    </w:p>
    <w:p>
      <w:r>
        <w:br w:type="page"/>
      </w:r>
    </w:p>
    <w:p>
      <w:pPr>
        <w:spacing w:after="80" w:before="320"/>
      </w:pPr>
      <w:r>
        <w:rPr>
          <w:rFonts w:ascii="Arial" w:cs="Arial" w:eastAsia="Arial" w:hAnsi="Arial"/>
          <w:b/>
          <w:bCs/>
          <w:color w:val="0066CC"/>
          <w:sz w:val="16"/>
          <w:szCs w:val="16"/>
        </w:rPr>
        <w:t xml:space="preserve">PERFORMANCE &amp; OUTLOOK</w:t>
      </w:r>
    </w:p>
    <w:p>
      <w:pPr>
        <w:pStyle w:val="Heading1"/>
        <w:spacing w:after="160" w:before="400"/>
      </w:pPr>
      <w:r>
        <w:rPr>
          <w:rFonts w:ascii="Arial" w:cs="Arial" w:eastAsia="Arial" w:hAnsi="Arial"/>
          <w:b/>
          <w:bCs/>
          <w:color w:val="0A1628"/>
          <w:sz w:val="36"/>
          <w:szCs w:val="36"/>
        </w:rPr>
        <w:t xml:space="preserve">Fund Status and Forward View</w:t>
      </w:r>
    </w:p>
    <w:p>
      <w:pPr>
        <w:pBdr>
          <w:bottom w:val="single" w:color="0066CC" w:sz="6" w:space="1"/>
        </w:pBdr>
        <w:spacing w:after="200" w:before="80"/>
      </w:pPr>
    </w:p>
    <w:p>
      <w:pPr>
        <w:pStyle w:val="Heading2"/>
        <w:spacing w:after="120" w:before="280"/>
      </w:pPr>
      <w:r>
        <w:rPr>
          <w:rFonts w:ascii="Arial" w:cs="Arial" w:eastAsia="Arial" w:hAnsi="Arial"/>
          <w:b/>
          <w:bCs/>
          <w:color w:val="0A1628"/>
          <w:sz w:val="26"/>
          <w:szCs w:val="26"/>
        </w:rPr>
        <w:t xml:space="preserve">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520"/>
        <w:gridCol w:w="3960"/>
      </w:tblGrid>
      <w:tr>
        <w:tc>
          <w:tcPr>
            <w:tcW w:type="dxa" w:w="288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i w:val="false"/>
                <w:iCs w:val="false"/>
                <w:color w:val="FFFFFF"/>
                <w:sz w:val="16"/>
                <w:szCs w:val="16"/>
              </w:rPr>
              <w:t xml:space="preserve">Metric</w:t>
            </w:r>
          </w:p>
        </w:tc>
        <w:tc>
          <w:tcPr>
            <w:tcW w:type="dxa" w:w="252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i w:val="false"/>
                <w:iCs w:val="false"/>
                <w:color w:val="FFFFFF"/>
                <w:sz w:val="16"/>
                <w:szCs w:val="16"/>
              </w:rPr>
              <w:t xml:space="preserve">Value</w:t>
            </w:r>
          </w:p>
        </w:tc>
        <w:tc>
          <w:tcPr>
            <w:tcW w:type="dxa" w:w="39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i w:val="false"/>
                <w:iCs w:val="false"/>
                <w:color w:val="FFFFFF"/>
                <w:sz w:val="16"/>
                <w:szCs w:val="16"/>
              </w:rPr>
              <w:t xml:space="preserve">Note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Total Commitments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$2.6M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Raising continues</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Capital Called</w:t>
            </w:r>
          </w:p>
        </w:tc>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$650K (25%)</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Quarterly capital calls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Fund Investments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$750K committed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Geek II · Hallstone · Prana</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Blue Moon</w:t>
            </w:r>
          </w:p>
        </w:tc>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Upcoming</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Expected Q2/Q3 2026</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Direct Sleeve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Not yet deployed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Deployment begins Q2/Q3 2026</w:t>
            </w:r>
          </w:p>
        </w:tc>
      </w:tr>
    </w:tbl>
    <w:p>
      <w:pPr>
        <w:spacing w:after="120"/>
      </w:pPr>
      <w:r>
        <w:t xml:space="preserve"/>
      </w:r>
    </w:p>
    <w:p>
      <w:pPr>
        <w:pStyle w:val="Heading2"/>
        <w:spacing w:after="120" w:before="280"/>
      </w:pPr>
      <w:r>
        <w:rPr>
          <w:rFonts w:ascii="Arial" w:cs="Arial" w:eastAsia="Arial" w:hAnsi="Arial"/>
          <w:b/>
          <w:bCs/>
          <w:color w:val="0A1628"/>
          <w:sz w:val="26"/>
          <w:szCs w:val="26"/>
        </w:rPr>
        <w:t xml:space="preserve">J-Curve Context</w:t>
      </w:r>
    </w:p>
    <w:p>
      <w:pPr>
        <w:spacing w:after="120"/>
        <w:jc w:val="both"/>
      </w:pPr>
      <w:r>
        <w:rPr>
          <w:rFonts w:ascii="Arial" w:cs="Arial" w:eastAsia="Arial" w:hAnsi="Arial"/>
          <w:color w:val="1F2937"/>
          <w:sz w:val="20"/>
          <w:szCs w:val="20"/>
        </w:rPr>
        <w:t xml:space="preserve">The current fund-level TVPI reflects standard early-stage J-curve dynamics. Management fees are front-loaded relative to deployed capital — a deliberate structure that concentrates fees during active deployment and reduces them through the harvest period. A meaningful portion of called capital is in the process of being deployed into fund investments and will begin working as underlying managers deploy into their own portfolios.</w:t>
      </w:r>
    </w:p>
    <w:p>
      <w:pPr>
        <w:spacing w:after="120"/>
        <w:jc w:val="both"/>
      </w:pPr>
      <w:r>
        <w:rPr>
          <w:rFonts w:ascii="Arial" w:cs="Arial" w:eastAsia="Arial" w:hAnsi="Arial"/>
          <w:color w:val="1F2937"/>
          <w:sz w:val="20"/>
          <w:szCs w:val="20"/>
        </w:rPr>
        <w:t xml:space="preserve">Premier II does not use subscription credit lines to artificially suppress called capital and inflate reported metrics. Carta and Cambridge benchmarks mix credit-line users with clean callers, making direct early-stage comparison misleading. Our numbers are a clean and honest representation of fund economics at this stage of the lifecycle.</w:t>
      </w:r>
    </w:p>
    <w:p>
      <w:pPr>
        <w:spacing w:before="120" w:after="120"/>
        <w:jc w:val="both"/>
      </w:pPr>
      <w:r>
        <w:rPr>
          <w:i/>
          <w:iCs/>
          <w:sz w:val="17"/>
          <w:color w:val="6B7280"/>
          <w:rFonts w:ascii="Arial"/>
        </w:rPr>
        <w:t xml:space="preserve">Illustrative scenarios only — not a forecast. See risk disclosure above. Note: pitch deck materials present a higher target-case scenario (5.7x blended) and a higher bear case (2.9x blended) reflecting different assumption inputs for illustrative purposes. Neither set of projections constitutes a guarantee of future performance.</w:t>
      </w:r>
    </w:p>
    <w:p>
      <w:pPr>
        <w:pStyle w:val="Heading2"/>
        <w:spacing w:after="120" w:before="280"/>
      </w:pPr>
      <w:r>
        <w:rPr>
          <w:rFonts w:ascii="Arial" w:cs="Arial" w:eastAsia="Arial" w:hAnsi="Arial"/>
          <w:b/>
          <w:bCs/>
          <w:color w:val="0A1628"/>
          <w:sz w:val="26"/>
          <w:szCs w:val="26"/>
        </w:rPr>
        <w:t xml:space="preserve">Target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160"/>
      </w:tblGrid>
      <w:tr>
        <w:tc>
          <w:tcPr>
            <w:tcW w:type="dxa" w:w="288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i w:val="false"/>
                <w:iCs w:val="false"/>
                <w:color w:val="FFFFFF"/>
                <w:sz w:val="16"/>
                <w:szCs w:val="16"/>
              </w:rPr>
              <w:t xml:space="preserve">Scenario</w:t>
            </w:r>
          </w:p>
        </w:tc>
        <w:tc>
          <w:tcPr>
            <w:tcW w:type="dxa" w:w="21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i w:val="false"/>
                <w:iCs w:val="false"/>
                <w:color w:val="FFFFFF"/>
                <w:sz w:val="16"/>
                <w:szCs w:val="16"/>
              </w:rPr>
              <w:t xml:space="preserve">Core FoF</w:t>
            </w:r>
          </w:p>
        </w:tc>
        <w:tc>
          <w:tcPr>
            <w:tcW w:type="dxa" w:w="21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i w:val="false"/>
                <w:iCs w:val="false"/>
                <w:color w:val="FFFFFF"/>
                <w:sz w:val="16"/>
                <w:szCs w:val="16"/>
              </w:rPr>
              <w:t xml:space="preserve">Satellite Direct</w:t>
            </w:r>
          </w:p>
        </w:tc>
        <w:tc>
          <w:tcPr>
            <w:tcW w:type="dxa" w:w="21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left"/>
            </w:pPr>
            <w:r>
              <w:rPr>
                <w:rFonts w:ascii="Arial" w:cs="Arial" w:eastAsia="Arial" w:hAnsi="Arial"/>
                <w:b/>
                <w:bCs/>
                <w:i w:val="false"/>
                <w:iCs w:val="false"/>
                <w:color w:val="FFFFFF"/>
                <w:sz w:val="16"/>
                <w:szCs w:val="16"/>
              </w:rPr>
              <w:t xml:space="preserve">Blended TVPI</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Bear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2.0x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1.0x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1.7x</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Base</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2.3x</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5.0x</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3.1x</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Target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2.5x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11x+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5.0x</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Premier I (current)</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1.27x</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7.33x</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1.75x</w:t>
            </w:r>
          </w:p>
        </w:tc>
      </w:tr>
    </w:tbl>
    <w:p>
      <w:pPr>
        <w:spacing w:after="120"/>
      </w:pPr>
      <w:r>
        <w:t xml:space="preserve"/>
      </w:r>
    </w:p>
    <w:p>
      <w:pPr>
        <w:spacing w:after="120"/>
        <w:jc w:val="both"/>
      </w:pPr>
      <w:r>
        <w:rPr>
          <w:rFonts w:ascii="Arial" w:cs="Arial" w:eastAsia="Arial" w:hAnsi="Arial"/>
          <w:i/>
          <w:iCs/>
          <w:color w:val="6B7280"/>
          <w:sz w:val="17"/>
          <w:szCs w:val="17"/>
        </w:rPr>
        <w:t>Target case assumes core at 2.5x (strong but achievable for top-decile FoF) and satellite at 11x+. Premier I satellite is currently at 7.33x with positions still unrealised. Pure FoF realistic ceiling is 2.3–3.0x historically; the satellite sleeve is where asymmetric returns are generated. Deck materials show 5.7x target / 2.9x bear using different inputs — both are illustrative. All projections are illustrative estimates only and do not constitute a guarantee of future performance.</w:t>
      </w:r>
    </w:p>
    <w:p>
      <w:pPr>
        <w:pStyle w:val="Heading2"/>
        <w:spacing w:after="120" w:before="280"/>
      </w:pPr>
      <w:r>
        <w:rPr>
          <w:rFonts w:ascii="Arial" w:cs="Arial" w:eastAsia="Arial" w:hAnsi="Arial"/>
          <w:b/>
          <w:bCs/>
          <w:color w:val="0A1628"/>
          <w:sz w:val="26"/>
          <w:szCs w:val="26"/>
        </w:rPr>
        <w:t xml:space="preserve">Outlook</w:t>
      </w:r>
    </w:p>
    <w:p>
      <w:pPr>
        <w:spacing w:after="120"/>
        <w:jc w:val="both"/>
      </w:pPr>
      <w:r>
        <w:rPr>
          <w:rFonts w:ascii="Arial" w:cs="Arial" w:eastAsia="Arial" w:hAnsi="Arial"/>
          <w:color w:val="1F2937"/>
          <w:sz w:val="20"/>
          <w:szCs w:val="20"/>
        </w:rPr>
        <w:t xml:space="preserve">Premier II enters H2 2026 with three fund commitments deployed and a fourth in advanced stages. The Blue Moon commitment is expected to close in Q2/Q3 2026. Direct sleeve deployment will begin in the same period as the satellite pipeline matures through GP networks and the Decile platform. Additional fund investments will be evaluated on a rolling basis. Capital call timing will be communicated with standard notice periods ahead of each draw.</w:t>
      </w:r>
    </w:p>
    <w:p>
      <w:r>
        <w:br w:type="page"/>
      </w:r>
    </w:p>
    <w:p>
      <w:pPr>
        <w:spacing w:after="80" w:before="320"/>
      </w:pPr>
      <w:r>
        <w:rPr>
          <w:rFonts w:ascii="Arial" w:cs="Arial" w:eastAsia="Arial" w:hAnsi="Arial"/>
          <w:b/>
          <w:bCs/>
          <w:color w:val="0066CC"/>
          <w:sz w:val="16"/>
          <w:szCs w:val="16"/>
        </w:rPr>
        <w:t xml:space="preserve">DISCLAIMER</w:t>
      </w:r>
    </w:p>
    <w:p>
      <w:pPr>
        <w:pBdr>
          <w:bottom w:val="single" w:color="0066CC" w:sz="6" w:space="1"/>
        </w:pBdr>
        <w:spacing w:after="200" w:before="80"/>
      </w:pPr>
    </w:p>
    <w:p>
      <w:pPr>
        <w:spacing w:after="100"/>
        <w:jc w:val="both"/>
      </w:pPr>
      <w:r>
        <w:rPr>
          <w:rFonts w:ascii="Arial" w:cs="Arial" w:eastAsia="Arial" w:hAnsi="Arial"/>
          <w:color w:val="6B7280"/>
          <w:sz w:val="17"/>
          <w:szCs w:val="17"/>
        </w:rPr>
        <w:t xml:space="preserve">This report is solely for the use of the intended recipient and contains information that is confidential. The contents of this report are the property of Premier II (the "Fund") and its affiliates. This report is subject to the confidentiality terms of our agreement, and any unauthorised dissemination, copying or use of this report or any of its contents without our express, written consent is strictly prohibited.</w:t>
      </w:r>
    </w:p>
    <w:p>
      <w:pPr>
        <w:spacing w:after="100"/>
        <w:jc w:val="both"/>
      </w:pPr>
      <w:r>
        <w:rPr>
          <w:rFonts w:ascii="Arial" w:cs="Arial" w:eastAsia="Arial" w:hAnsi="Arial"/>
          <w:color w:val="6B7280"/>
          <w:sz w:val="17"/>
          <w:szCs w:val="17"/>
        </w:rPr>
        <w:t xml:space="preserve">We provide this report to you to provide some insight into the activities of the Fund. While we have prepared this report based on our internal data and research available to us, we have not fully verified all information contained in this report. Further, this report may contain forward-looking statements which are subject to significant risks and uncertainties. We do not represent the accuracy or completeness of any information or statements in this report, and therefore you should refrain from relying on any part of this report.</w:t>
      </w:r>
    </w:p>
    <w:p>
      <w:pPr>
        <w:spacing w:after="100"/>
        <w:jc w:val="both"/>
      </w:pPr>
      <w:r>
        <w:rPr>
          <w:rFonts w:ascii="Arial" w:cs="Arial" w:eastAsia="Arial" w:hAnsi="Arial"/>
          <w:color w:val="6B7280"/>
          <w:sz w:val="17"/>
          <w:szCs w:val="17"/>
        </w:rPr>
        <w:t xml:space="preserve">This report does not constitute an offer or solicitation to make any investment. We do not provide legal, accounting, or tax advice. All investors are advised to consult with their legal, accounting and tax advisers regarding such matters. Past performance is not indicative of future results. TVPI and MOIC figures are unaudited and GP-reported unless otherwise stated.</w:t>
      </w:r>
    </w:p>
    <w:p>
      <w:pPr>
        <w:spacing w:after="120"/>
      </w:pPr>
      <w:r>
        <w:t xml:space="preserve"/>
      </w:r>
    </w:p>
    <w:p>
      <w:pPr>
        <w:spacing w:after="120"/>
      </w:pPr>
      <w:r>
        <w:t xml:space="preserve"/>
      </w:r>
    </w:p>
    <w:p>
      <w:pPr>
        <w:jc w:val="center"/>
      </w:pPr>
      <w:r>
        <w:rPr>
          <w:rFonts w:ascii="Arial" w:cs="Arial" w:eastAsia="Arial" w:hAnsi="Arial"/>
          <w:i/>
          <w:iCs/>
          <w:color w:val="6B7280"/>
          <w:sz w:val="17"/>
          <w:szCs w:val="17"/>
        </w:rPr>
        <w:t xml:space="preserve">Decile Capital Premier II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162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A162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2026-05-11T19:01:23.784Z</dcterms:created>
  <dcterms:modified xsi:type="dcterms:W3CDTF">2026-05-11T19:01:23.785Z</dcterms:modified>
</cp:coreProperties>
</file>

<file path=docProps/custom.xml><?xml version="1.0" encoding="utf-8"?>
<Properties xmlns="http://schemas.openxmlformats.org/officeDocument/2006/custom-properties" xmlns:vt="http://schemas.openxmlformats.org/officeDocument/2006/docPropsVTypes"/>
</file>