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b/>
          <w:bCs/>
          <w:color w:val="0A1628"/>
          <w:sz w:val="28"/>
          <w:szCs w:val="28"/>
        </w:rPr>
        <w:t xml:space="preserve">DUE DILIGENCE QUESTIONNAIRE</w:t>
      </w:r>
    </w:p>
    <w:p>
      <w:pPr>
        <w:spacing w:after="80"/>
        <w:jc w:val="center"/>
      </w:pPr>
      <w:r>
        <w:rPr>
          <w:rFonts w:ascii="Arial" w:cs="Arial" w:eastAsia="Arial" w:hAnsi="Arial"/>
          <w:b/>
          <w:bCs/>
          <w:color w:val="0066CC"/>
          <w:sz w:val="40"/>
          <w:szCs w:val="40"/>
        </w:rPr>
        <w:t xml:space="preserve">Decile Capital Premier II</w:t>
      </w:r>
    </w:p>
    <w:p>
      <w:pPr>
        <w:spacing w:after="80"/>
        <w:jc w:val="center"/>
      </w:pPr>
      <w:r>
        <w:rPr>
          <w:rFonts w:ascii="Arial" w:cs="Arial" w:eastAsia="Arial" w:hAnsi="Arial"/>
          <w:color w:val="6B7280"/>
          <w:sz w:val="22"/>
          <w:szCs w:val="22"/>
        </w:rPr>
        <w:t xml:space="preserve">Fund of Funds · 70% FoF · 30% Direct Satellite</w:t>
      </w:r>
    </w:p>
    <w:p>
      <w:pPr>
        <w:spacing w:after="80"/>
        <w:jc w:val="center"/>
      </w:pPr>
      <w:r>
        <w:rPr>
          <w:rFonts w:ascii="Arial" w:cs="Arial" w:eastAsia="Arial" w:hAnsi="Arial"/>
          <w:i/>
          <w:iCs/>
          <w:color w:val="6B7280"/>
          <w:sz w:val="18"/>
          <w:szCs w:val="18"/>
        </w:rPr>
        <w:t xml:space="preserve">May 2026 · Strictly Confidential</w:t>
      </w:r>
    </w:p>
    <w:p>
      <w:r>
        <w:br w:type="page"/>
      </w:r>
    </w:p>
    <w:p>
      <w:pPr>
        <w:spacing w:after="120" w:before="280"/>
      </w:pPr>
      <w:r>
        <w:rPr>
          <w:rFonts w:ascii="Arial" w:cs="Arial" w:eastAsia="Arial" w:hAnsi="Arial"/>
          <w:b/>
          <w:bCs/>
          <w:color w:val="0A1628"/>
          <w:sz w:val="28"/>
          <w:szCs w:val="28"/>
        </w:rPr>
        <w:t xml:space="preserve">1. INVESTMENT STRATEGY</w:t>
      </w:r>
    </w:p>
    <w:p>
      <w:pPr>
        <w:pBdr>
          <w:bottom w:val="single" w:color="0066CC" w:sz="6" w:space="1"/>
        </w:pBdr>
        <w:spacing w:after="160" w:before="60"/>
      </w:pPr>
    </w:p>
    <w:p>
      <w:pPr>
        <w:spacing w:after="80" w:before="200"/>
      </w:pPr>
      <w:r>
        <w:rPr>
          <w:rFonts w:ascii="Arial" w:cs="Arial" w:eastAsia="Arial" w:hAnsi="Arial"/>
          <w:b/>
          <w:bCs/>
          <w:color w:val="0A1628"/>
          <w:sz w:val="22"/>
          <w:szCs w:val="22"/>
        </w:rPr>
        <w:t xml:space="preserve">1.1 Investment Focus, Market, and Competition</w:t>
      </w:r>
    </w:p>
    <w:p>
      <w:pPr>
        <w:spacing w:after="100"/>
      </w:pPr>
      <w:r>
        <w:t xml:space="preserve"/>
      </w:r>
    </w:p>
    <w:p>
      <w:pPr>
        <w:spacing w:after="60" w:before="160"/>
      </w:pPr>
      <w:r>
        <w:rPr>
          <w:rFonts w:ascii="Arial" w:cs="Arial" w:eastAsia="Arial" w:hAnsi="Arial"/>
          <w:b/>
          <w:bCs/>
          <w:color w:val="0066CC"/>
          <w:sz w:val="20"/>
          <w:szCs w:val="20"/>
        </w:rPr>
        <w:t xml:space="preserve">1.1.1 </w:t>
      </w:r>
      <w:r>
        <w:rPr>
          <w:rFonts w:ascii="Arial" w:cs="Arial" w:eastAsia="Arial" w:hAnsi="Arial"/>
          <w:b/>
          <w:bCs/>
          <w:color w:val="1F2937"/>
          <w:sz w:val="20"/>
          <w:szCs w:val="20"/>
        </w:rPr>
        <w:t xml:space="preserve">Briefly describe the fund’s investment strategy.</w:t>
      </w:r>
    </w:p>
    <w:p>
      <w:pPr>
        <w:spacing w:after="100"/>
        <w:ind w:left="360"/>
        <w:jc w:val="both"/>
      </w:pPr>
      <w:r>
        <w:rPr>
          <w:rFonts w:ascii="Arial" w:cs="Arial" w:eastAsia="Arial" w:hAnsi="Arial"/>
          <w:color w:val="374151"/>
          <w:sz w:val="20"/>
          <w:szCs w:val="20"/>
        </w:rPr>
        <w:t xml:space="preserve">Premier II is a hybrid vehicle combining two complementary return engines. Approximately 70% of capital is allocated to a curated fund of funds, providing diversified exposure to top-decile emerging managers at pre-seed and seed stage. The remaining 30% targets direct satellite positions in single assets where Premier II has information advantage, scarce allocation access, and high conviction.</w:t>
      </w:r>
    </w:p>
    <w:p>
      <w:pPr>
        <w:spacing w:after="100"/>
        <w:ind w:left="360"/>
        <w:jc w:val="both"/>
      </w:pPr>
      <w:r>
        <w:rPr>
          <w:rFonts w:ascii="Arial" w:cs="Arial" w:eastAsia="Arial" w:hAnsi="Arial"/>
          <w:color w:val="374151"/>
          <w:sz w:val="20"/>
          <w:szCs w:val="20"/>
        </w:rPr>
        <w:t xml:space="preserve">The two sleeves carry different fee structures. FoF investments carry two fee layers: the underlying fund’s own management fee and carry, plus Premier II’s 1% management fee and 10% carry. Direct co-investments carry only Premier II’s single fee layer — no additional SPV-level management fee or carry. This fee elimination on direct positions is the structural advantage of the satellite sleeve: the same gross return delivers materially more to the LP when one fee layer is removed.</w:t>
      </w:r>
    </w:p>
    <w:p>
      <w:pPr>
        <w:spacing w:after="100"/>
        <w:ind w:left="360"/>
        <w:jc w:val="both"/>
      </w:pPr>
      <w:r>
        <w:rPr>
          <w:rFonts w:ascii="Arial" w:cs="Arial" w:eastAsia="Arial" w:hAnsi="Arial"/>
          <w:color w:val="374151"/>
          <w:sz w:val="20"/>
          <w:szCs w:val="20"/>
        </w:rPr>
        <w:t xml:space="preserve">The fund targets emerging managers including first- and second-time fund managers, solo GPs, and micro-funds ($5M–$25M). Post-correction vintages have historically delivered outsized returns, and the fund’s hybrid structure is designed to capture both the diversification of a FoF and the asymmetric upside of concentrated direct positions.</w:t>
      </w:r>
    </w:p>
    <w:p>
      <w:pPr>
        <w:spacing w:after="100"/>
      </w:pPr>
      <w:r>
        <w:t xml:space="preserve"/>
      </w:r>
    </w:p>
    <w:p>
      <w:pPr>
        <w:spacing w:after="60" w:before="160"/>
      </w:pPr>
      <w:r>
        <w:rPr>
          <w:rFonts w:ascii="Arial" w:cs="Arial" w:eastAsia="Arial" w:hAnsi="Arial"/>
          <w:b/>
          <w:bCs/>
          <w:color w:val="0066CC"/>
          <w:sz w:val="20"/>
          <w:szCs w:val="20"/>
        </w:rPr>
        <w:t xml:space="preserve">1.1.2 </w:t>
      </w:r>
      <w:r>
        <w:rPr>
          <w:rFonts w:ascii="Arial" w:cs="Arial" w:eastAsia="Arial" w:hAnsi="Arial"/>
          <w:b/>
          <w:bCs/>
          <w:color w:val="1F2937"/>
          <w:sz w:val="20"/>
          <w:szCs w:val="20"/>
        </w:rPr>
        <w:t xml:space="preserve">Uniqueness of the strategy.</w:t>
      </w:r>
    </w:p>
    <w:p>
      <w:pPr>
        <w:spacing w:after="100"/>
        <w:ind w:left="360"/>
        <w:jc w:val="both"/>
      </w:pPr>
      <w:r>
        <w:rPr>
          <w:rFonts w:ascii="Arial" w:cs="Arial" w:eastAsia="Arial" w:hAnsi="Arial"/>
          <w:color w:val="374151"/>
          <w:sz w:val="20"/>
          <w:szCs w:val="20"/>
        </w:rPr>
        <w:t xml:space="preserve">Premier II operates a three-tier co-investment sourcing architecture that distinguishes it from conventional FoF vehicles:</w:t>
      </w:r>
    </w:p>
    <w:p>
      <w:pPr>
        <w:pStyle w:val="ListParagraph"/>
        <w:numPr>
          <w:ilvl w:val="0"/>
          <w:numId w:val="2"/>
        </w:numPr>
        <w:spacing w:after="80"/>
        <w:ind w:left="720" w:hanging="360"/>
      </w:pPr>
      <w:r>
        <w:rPr>
          <w:rFonts w:ascii="Arial" w:cs="Arial" w:eastAsia="Arial" w:hAnsi="Arial"/>
          <w:color w:val="374151"/>
          <w:sz w:val="20"/>
          <w:szCs w:val="20"/>
        </w:rPr>
        <w:t xml:space="preserve">Systematic: AI-driven pipeline through Blue Moon Ventures (20,000+ companies sourced annually via proprietary agents) provides deal flow at a scale no human team can replicate.</w:t>
      </w:r>
    </w:p>
    <w:p>
      <w:pPr>
        <w:pStyle w:val="ListParagraph"/>
        <w:numPr>
          <w:ilvl w:val="0"/>
          <w:numId w:val="2"/>
        </w:numPr>
        <w:spacing w:after="80"/>
        <w:ind w:left="720" w:hanging="360"/>
      </w:pPr>
      <w:r>
        <w:rPr>
          <w:rFonts w:ascii="Arial" w:cs="Arial" w:eastAsia="Arial" w:hAnsi="Arial"/>
          <w:color w:val="374151"/>
          <w:sz w:val="20"/>
          <w:szCs w:val="20"/>
        </w:rPr>
        <w:t xml:space="preserve">Validated: Proven GP judgment from Premier I top performers (Embedding VC, Rebellion Ventures) whose selection decisions have been observed and validated over 3–4 years. When these GPs surface a direct opportunity, Premier evaluates it with full context of their prior deployment.</w:t>
      </w:r>
    </w:p>
    <w:p>
      <w:pPr>
        <w:pStyle w:val="ListParagraph"/>
        <w:numPr>
          <w:ilvl w:val="0"/>
          <w:numId w:val="2"/>
        </w:numPr>
        <w:spacing w:after="80"/>
        <w:ind w:left="720" w:hanging="360"/>
      </w:pPr>
      <w:r>
        <w:rPr>
          <w:rFonts w:ascii="Arial" w:cs="Arial" w:eastAsia="Arial" w:hAnsi="Arial"/>
          <w:color w:val="374151"/>
          <w:sz w:val="20"/>
          <w:szCs w:val="20"/>
        </w:rPr>
        <w:t xml:space="preserve">Proprietary: Closed-ecosystem access through specialist managers (Prana Tech — DoD/NSIN/MIT; Hallstone — Hollywood Professional Association/MovieLabs) providing deal flow unavailable to generalist investors.</w:t>
      </w:r>
    </w:p>
    <w:p>
      <w:pPr>
        <w:spacing w:after="100"/>
        <w:ind w:left="360"/>
        <w:jc w:val="both"/>
      </w:pPr>
      <w:r>
        <w:rPr>
          <w:rFonts w:ascii="Arial" w:cs="Arial" w:eastAsia="Arial" w:hAnsi="Arial"/>
          <w:color w:val="374151"/>
          <w:sz w:val="20"/>
          <w:szCs w:val="20"/>
        </w:rPr>
        <w:t xml:space="preserve">The fund actively engages managers outside their fundraising periods — building relationships before competition begins and securing allocation before the broader market arrives. Premier I validated the architecture: the satellite sleeve generated 7.33x cap-adjusted TVPI on a direct position sourced through the Decile network.</w:t>
      </w:r>
    </w:p>
    <w:p>
      <w:pPr>
        <w:spacing w:after="100"/>
      </w:pPr>
      <w:r>
        <w:t xml:space="preserve"/>
      </w:r>
    </w:p>
    <w:p>
      <w:pPr>
        <w:spacing w:after="60" w:before="160"/>
      </w:pPr>
      <w:r>
        <w:rPr>
          <w:rFonts w:ascii="Arial" w:cs="Arial" w:eastAsia="Arial" w:hAnsi="Arial"/>
          <w:b/>
          <w:bCs/>
          <w:color w:val="0066CC"/>
          <w:sz w:val="20"/>
          <w:szCs w:val="20"/>
        </w:rPr>
        <w:t xml:space="preserve">1.1.3 </w:t>
      </w:r>
      <w:r>
        <w:rPr>
          <w:rFonts w:ascii="Arial" w:cs="Arial" w:eastAsia="Arial" w:hAnsi="Arial"/>
          <w:b/>
          <w:bCs/>
          <w:color w:val="1F2937"/>
          <w:sz w:val="20"/>
          <w:szCs w:val="20"/>
        </w:rPr>
        <w:t xml:space="preserve">Stage focus and expected portfolio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Sleeve</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Stage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 Positions</w:t>
            </w:r>
          </w:p>
        </w:tc>
        <w:tc>
          <w:tcPr>
            <w:tcW w:type="dxa" w:w="2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Check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FoF sleeve (70%)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Pre-Seed / Seed funds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17–20 funds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$100K–$350K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Direct satellite (30%)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Series A/B co-investments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Up to 6 positions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$150K–$500K</w:t>
            </w:r>
          </w:p>
        </w:tc>
      </w:tr>
    </w:tbl>
    <w:p>
      <w:pPr>
        <w:spacing w:after="100"/>
      </w:pPr>
      <w:r>
        <w:t xml:space="preserve"/>
      </w:r>
    </w:p>
    <w:p>
      <w:pPr>
        <w:spacing w:after="60" w:before="160"/>
      </w:pPr>
      <w:r>
        <w:rPr>
          <w:rFonts w:ascii="Arial" w:cs="Arial" w:eastAsia="Arial" w:hAnsi="Arial"/>
          <w:b/>
          <w:bCs/>
          <w:color w:val="0066CC"/>
          <w:sz w:val="20"/>
          <w:szCs w:val="20"/>
        </w:rPr>
        <w:t xml:space="preserve">1.1.4 </w:t>
      </w:r>
      <w:r>
        <w:rPr>
          <w:rFonts w:ascii="Arial" w:cs="Arial" w:eastAsia="Arial" w:hAnsi="Arial"/>
          <w:b/>
          <w:bCs/>
          <w:color w:val="1F2937"/>
          <w:sz w:val="20"/>
          <w:szCs w:val="20"/>
        </w:rPr>
        <w:t xml:space="preserve">Diversification.</w:t>
      </w:r>
    </w:p>
    <w:p>
      <w:pPr>
        <w:spacing w:after="100"/>
        <w:ind w:left="360"/>
        <w:jc w:val="both"/>
      </w:pPr>
      <w:r>
        <w:rPr>
          <w:rFonts w:ascii="Arial" w:cs="Arial" w:eastAsia="Arial" w:hAnsi="Arial"/>
          <w:color w:val="374151"/>
          <w:sz w:val="20"/>
          <w:szCs w:val="20"/>
        </w:rPr>
        <w:t xml:space="preserve">FoF sleeve: 17–20 fund commitments, each investing in 15–100 portfolio companies, providing indirect exposure to 300–500+ companies through a single vehicle. Satellite sleeve: up to 6 concentrated direct positions, each requiring a credible path to 15–20x gross return before commitment.</w:t>
      </w:r>
    </w:p>
    <w:p>
      <w:pPr>
        <w:spacing w:after="100"/>
      </w:pPr>
      <w:r>
        <w:t xml:space="preserve"/>
      </w:r>
    </w:p>
    <w:p>
      <w:pPr>
        <w:spacing w:after="60" w:before="160"/>
      </w:pPr>
      <w:r>
        <w:rPr>
          <w:rFonts w:ascii="Arial" w:cs="Arial" w:eastAsia="Arial" w:hAnsi="Arial"/>
          <w:b/>
          <w:bCs/>
          <w:color w:val="0066CC"/>
          <w:sz w:val="20"/>
          <w:szCs w:val="20"/>
        </w:rPr>
        <w:t xml:space="preserve">1.1.5 </w:t>
      </w:r>
      <w:r>
        <w:rPr>
          <w:rFonts w:ascii="Arial" w:cs="Arial" w:eastAsia="Arial" w:hAnsi="Arial"/>
          <w:b/>
          <w:bCs/>
          <w:color w:val="1F2937"/>
          <w:sz w:val="20"/>
          <w:szCs w:val="20"/>
        </w:rPr>
        <w:t xml:space="preserve">Investment themes.</w:t>
      </w:r>
    </w:p>
    <w:p>
      <w:pPr>
        <w:spacing w:after="100"/>
        <w:ind w:left="360"/>
        <w:jc w:val="both"/>
      </w:pPr>
      <w:r>
        <w:rPr>
          <w:rFonts w:ascii="Arial" w:cs="Arial" w:eastAsia="Arial" w:hAnsi="Arial"/>
          <w:color w:val="374151"/>
          <w:sz w:val="20"/>
          <w:szCs w:val="20"/>
        </w:rPr>
        <w:t xml:space="preserve">The fund does not prescribe fixed sector allocations. Manager selection is driven by sourcing edge, GP quality, and co-investment potential rather than top-down thematic weighting. Current portfolio exposure includes:</w:t>
      </w:r>
    </w:p>
    <w:p>
      <w:pPr>
        <w:pStyle w:val="ListParagraph"/>
        <w:numPr>
          <w:ilvl w:val="0"/>
          <w:numId w:val="2"/>
        </w:numPr>
        <w:spacing w:after="80"/>
        <w:ind w:left="720" w:hanging="360"/>
      </w:pPr>
      <w:r>
        <w:rPr>
          <w:rFonts w:ascii="Arial" w:cs="Arial" w:eastAsia="Arial" w:hAnsi="Arial"/>
          <w:color w:val="374151"/>
          <w:sz w:val="20"/>
          <w:szCs w:val="20"/>
        </w:rPr>
        <w:t xml:space="preserve">AI infrastructure and vertical AI (Geek Ventures II, Blue Moon Ventures II, Embedding VC)</w:t>
      </w:r>
    </w:p>
    <w:p>
      <w:pPr>
        <w:pStyle w:val="ListParagraph"/>
        <w:numPr>
          <w:ilvl w:val="0"/>
          <w:numId w:val="2"/>
        </w:numPr>
        <w:spacing w:after="80"/>
        <w:ind w:left="720" w:hanging="360"/>
      </w:pPr>
      <w:r>
        <w:rPr>
          <w:rFonts w:ascii="Arial" w:cs="Arial" w:eastAsia="Arial" w:hAnsi="Arial"/>
          <w:color w:val="374151"/>
          <w:sz w:val="20"/>
          <w:szCs w:val="20"/>
        </w:rPr>
        <w:t xml:space="preserve">Media and entertainment technology infrastructure (Hallstone Ventures)</w:t>
      </w:r>
    </w:p>
    <w:p>
      <w:pPr>
        <w:pStyle w:val="ListParagraph"/>
        <w:numPr>
          <w:ilvl w:val="0"/>
          <w:numId w:val="2"/>
        </w:numPr>
        <w:spacing w:after="80"/>
        <w:ind w:left="720" w:hanging="360"/>
      </w:pPr>
      <w:r>
        <w:rPr>
          <w:rFonts w:ascii="Arial" w:cs="Arial" w:eastAsia="Arial" w:hAnsi="Arial"/>
          <w:color w:val="374151"/>
          <w:sz w:val="20"/>
          <w:szCs w:val="20"/>
        </w:rPr>
        <w:t xml:space="preserve">Cybersecurity, deep tech, and healthtech (Prana Tech Ventures)</w:t>
      </w:r>
    </w:p>
    <w:p>
      <w:pPr>
        <w:pStyle w:val="ListParagraph"/>
        <w:numPr>
          <w:ilvl w:val="0"/>
          <w:numId w:val="2"/>
        </w:numPr>
        <w:spacing w:after="80"/>
        <w:ind w:left="720" w:hanging="360"/>
      </w:pPr>
      <w:r>
        <w:rPr>
          <w:rFonts w:ascii="Arial" w:cs="Arial" w:eastAsia="Arial" w:hAnsi="Arial"/>
          <w:color w:val="374151"/>
          <w:sz w:val="20"/>
          <w:szCs w:val="20"/>
        </w:rPr>
        <w:t xml:space="preserve">AI-enabled vertical software and B2B SaaS (Rebellion Ventures)</w:t>
      </w:r>
    </w:p>
    <w:p>
      <w:pPr>
        <w:spacing w:after="100"/>
        <w:ind w:left="360"/>
        <w:jc w:val="both"/>
      </w:pPr>
      <w:r>
        <w:rPr>
          <w:rFonts w:ascii="Arial" w:cs="Arial" w:eastAsia="Arial" w:hAnsi="Arial"/>
          <w:color w:val="374151"/>
          <w:sz w:val="20"/>
          <w:szCs w:val="20"/>
        </w:rPr>
        <w:t xml:space="preserve">These reflect bottom-up selection rather than predetermined allocation targets.</w:t>
      </w:r>
    </w:p>
    <w:p>
      <w:pPr>
        <w:spacing w:after="100"/>
      </w:pPr>
      <w:r>
        <w:t xml:space="preserve"/>
      </w:r>
    </w:p>
    <w:p>
      <w:pPr>
        <w:spacing w:after="60" w:before="160"/>
      </w:pPr>
      <w:r>
        <w:rPr>
          <w:rFonts w:ascii="Arial" w:cs="Arial" w:eastAsia="Arial" w:hAnsi="Arial"/>
          <w:b/>
          <w:bCs/>
          <w:color w:val="0066CC"/>
          <w:sz w:val="20"/>
          <w:szCs w:val="20"/>
        </w:rPr>
        <w:t xml:space="preserve">1.1.6 </w:t>
      </w:r>
      <w:r>
        <w:rPr>
          <w:rFonts w:ascii="Arial" w:cs="Arial" w:eastAsia="Arial" w:hAnsi="Arial"/>
          <w:b/>
          <w:bCs/>
          <w:color w:val="1F2937"/>
          <w:sz w:val="20"/>
          <w:szCs w:val="20"/>
        </w:rPr>
        <w:t xml:space="preserve">Reserve policy for follow-on investments.</w:t>
      </w:r>
    </w:p>
    <w:p>
      <w:pPr>
        <w:spacing w:after="100"/>
        <w:ind w:left="360"/>
        <w:jc w:val="both"/>
      </w:pPr>
      <w:r>
        <w:rPr>
          <w:rFonts w:ascii="Arial" w:cs="Arial" w:eastAsia="Arial" w:hAnsi="Arial"/>
          <w:color w:val="374151"/>
          <w:sz w:val="20"/>
          <w:szCs w:val="20"/>
        </w:rPr>
        <w:t xml:space="preserve">As a fund of funds, Premier II does not maintain a dedicated reserve policy for follow-on investments in underlying portfolio companies — these are managed by the underlying GPs. For the direct satellite sleeve, position sizing is determined at initial commitment with no planned follow-on reserves at the Premier II level.</w:t>
      </w:r>
    </w:p>
    <w:p>
      <w:pPr>
        <w:spacing w:after="100"/>
      </w:pPr>
      <w:r>
        <w:t xml:space="preserve"/>
      </w:r>
    </w:p>
    <w:p>
      <w:pPr>
        <w:spacing w:after="80" w:before="200"/>
      </w:pPr>
      <w:r>
        <w:rPr>
          <w:rFonts w:ascii="Arial" w:cs="Arial" w:eastAsia="Arial" w:hAnsi="Arial"/>
          <w:b/>
          <w:bCs/>
          <w:color w:val="0A1628"/>
          <w:sz w:val="22"/>
          <w:szCs w:val="22"/>
        </w:rPr>
        <w:t xml:space="preserve">1.2 Deal Flow &amp; Investments</w:t>
      </w:r>
    </w:p>
    <w:p>
      <w:pPr>
        <w:spacing w:after="100"/>
      </w:pPr>
      <w:r>
        <w:t xml:space="preserve"/>
      </w:r>
    </w:p>
    <w:p>
      <w:pPr>
        <w:spacing w:after="60" w:before="160"/>
      </w:pPr>
      <w:r>
        <w:rPr>
          <w:rFonts w:ascii="Arial" w:cs="Arial" w:eastAsia="Arial" w:hAnsi="Arial"/>
          <w:b/>
          <w:bCs/>
          <w:color w:val="0066CC"/>
          <w:sz w:val="20"/>
          <w:szCs w:val="20"/>
        </w:rPr>
        <w:t xml:space="preserve">1.2.1 </w:t>
      </w:r>
      <w:r>
        <w:rPr>
          <w:rFonts w:ascii="Arial" w:cs="Arial" w:eastAsia="Arial" w:hAnsi="Arial"/>
          <w:b/>
          <w:bCs/>
          <w:color w:val="1F2937"/>
          <w:sz w:val="20"/>
          <w:szCs w:val="20"/>
        </w:rPr>
        <w:t xml:space="preserve">Sources of deal flow.</w:t>
      </w:r>
    </w:p>
    <w:p>
      <w:pPr>
        <w:pStyle w:val="ListParagraph"/>
        <w:numPr>
          <w:ilvl w:val="0"/>
          <w:numId w:val="2"/>
        </w:numPr>
        <w:spacing w:after="80"/>
        <w:ind w:left="720" w:hanging="360"/>
      </w:pPr>
      <w:r>
        <w:rPr>
          <w:rFonts w:ascii="Arial" w:cs="Arial" w:eastAsia="Arial" w:hAnsi="Arial"/>
          <w:color w:val="374151"/>
          <w:sz w:val="20"/>
          <w:szCs w:val="20"/>
        </w:rPr>
        <w:t xml:space="preserve">Active outbound manager sourcing — Premier II contacts managers outside their fundraising periods, building relationships before the raise opens and securing allocation before competition begins.</w:t>
      </w:r>
    </w:p>
    <w:p>
      <w:pPr>
        <w:pStyle w:val="ListParagraph"/>
        <w:numPr>
          <w:ilvl w:val="0"/>
          <w:numId w:val="2"/>
        </w:numPr>
        <w:spacing w:after="80"/>
        <w:ind w:left="720" w:hanging="360"/>
      </w:pPr>
      <w:r>
        <w:rPr>
          <w:rFonts w:ascii="Arial" w:cs="Arial" w:eastAsia="Arial" w:hAnsi="Arial"/>
          <w:color w:val="374151"/>
          <w:sz w:val="20"/>
          <w:szCs w:val="20"/>
        </w:rPr>
        <w:t xml:space="preserve">Premier I GP network — validated relationships with top-performing Premier I managers raising follow-on funds. First-fund commitment buys observation rights; second-fund commitment is made with full knowledge of GP deployment, judgment, and co-investment behavior.</w:t>
      </w:r>
    </w:p>
    <w:p>
      <w:pPr>
        <w:pStyle w:val="ListParagraph"/>
        <w:numPr>
          <w:ilvl w:val="0"/>
          <w:numId w:val="2"/>
        </w:numPr>
        <w:spacing w:after="80"/>
        <w:ind w:left="720" w:hanging="360"/>
      </w:pPr>
      <w:r>
        <w:rPr>
          <w:rFonts w:ascii="Arial" w:cs="Arial" w:eastAsia="Arial" w:hAnsi="Arial"/>
          <w:color w:val="374151"/>
          <w:sz w:val="20"/>
          <w:szCs w:val="20"/>
        </w:rPr>
        <w:t xml:space="preserve">Blue Moon AI pipeline — Agatha (AI sourcing agent) sources 20,000+ companies annually, providing systematic co-investment deal flow.</w:t>
      </w:r>
    </w:p>
    <w:p>
      <w:pPr>
        <w:pStyle w:val="ListParagraph"/>
        <w:numPr>
          <w:ilvl w:val="0"/>
          <w:numId w:val="2"/>
        </w:numPr>
        <w:spacing w:after="80"/>
        <w:ind w:left="720" w:hanging="360"/>
      </w:pPr>
      <w:r>
        <w:rPr>
          <w:rFonts w:ascii="Arial" w:cs="Arial" w:eastAsia="Arial" w:hAnsi="Arial"/>
          <w:color w:val="374151"/>
          <w:sz w:val="20"/>
          <w:szCs w:val="20"/>
        </w:rPr>
        <w:t xml:space="preserve">VC Lab cohort managers and broader Decile platform GP relationships.</w:t>
      </w:r>
    </w:p>
    <w:p>
      <w:pPr>
        <w:pStyle w:val="ListParagraph"/>
        <w:numPr>
          <w:ilvl w:val="0"/>
          <w:numId w:val="2"/>
        </w:numPr>
        <w:spacing w:after="80"/>
        <w:ind w:left="720" w:hanging="360"/>
      </w:pPr>
      <w:r>
        <w:rPr>
          <w:rFonts w:ascii="Arial" w:cs="Arial" w:eastAsia="Arial" w:hAnsi="Arial"/>
          <w:color w:val="374151"/>
          <w:sz w:val="20"/>
          <w:szCs w:val="20"/>
        </w:rPr>
        <w:t xml:space="preserve">LP Institute program, industry referrals from founders, LPs, and allocators.</w:t>
      </w:r>
    </w:p>
    <w:p>
      <w:pPr>
        <w:spacing w:after="100"/>
      </w:pPr>
      <w:r>
        <w:t xml:space="preserve"/>
      </w:r>
    </w:p>
    <w:p>
      <w:pPr>
        <w:spacing w:after="60" w:before="160"/>
      </w:pPr>
      <w:r>
        <w:rPr>
          <w:rFonts w:ascii="Arial" w:cs="Arial" w:eastAsia="Arial" w:hAnsi="Arial"/>
          <w:b/>
          <w:bCs/>
          <w:color w:val="0066CC"/>
          <w:sz w:val="20"/>
          <w:szCs w:val="20"/>
        </w:rPr>
        <w:t xml:space="preserve">1.2.2 </w:t>
      </w:r>
      <w:r>
        <w:rPr>
          <w:rFonts w:ascii="Arial" w:cs="Arial" w:eastAsia="Arial" w:hAnsi="Arial"/>
          <w:b/>
          <w:bCs/>
          <w:color w:val="1F2937"/>
          <w:sz w:val="20"/>
          <w:szCs w:val="20"/>
        </w:rPr>
        <w:t xml:space="preserve">Relationship with deal flow sources.</w:t>
      </w:r>
    </w:p>
    <w:p>
      <w:pPr>
        <w:spacing w:after="100"/>
        <w:ind w:left="360"/>
        <w:jc w:val="both"/>
      </w:pPr>
      <w:r>
        <w:rPr>
          <w:rFonts w:ascii="Arial" w:cs="Arial" w:eastAsia="Arial" w:hAnsi="Arial"/>
          <w:color w:val="374151"/>
          <w:sz w:val="20"/>
          <w:szCs w:val="20"/>
        </w:rPr>
        <w:t xml:space="preserve">The fund’s sourcing model is built on long-term relationships rather than transactional deal flow. For Premier I managers raising second funds, Premier has observed 3–4 years of real investment behavior — which sectors they understand, how they communicate with LPs, and how they manage portfolio companies under pressure. This observed context is the highest-quality filter available. The Decile platform and VC Lab relationships have been in place since Premier I inception in 2022.</w:t>
      </w:r>
    </w:p>
    <w:p>
      <w:pPr>
        <w:spacing w:after="100"/>
      </w:pPr>
      <w:r>
        <w:t xml:space="preserve"/>
      </w:r>
    </w:p>
    <w:p>
      <w:pPr>
        <w:spacing w:after="60" w:before="160"/>
      </w:pPr>
      <w:r>
        <w:rPr>
          <w:rFonts w:ascii="Arial" w:cs="Arial" w:eastAsia="Arial" w:hAnsi="Arial"/>
          <w:b/>
          <w:bCs/>
          <w:color w:val="0066CC"/>
          <w:sz w:val="20"/>
          <w:szCs w:val="20"/>
        </w:rPr>
        <w:t xml:space="preserve">1.2.3 </w:t>
      </w:r>
      <w:r>
        <w:rPr>
          <w:rFonts w:ascii="Arial" w:cs="Arial" w:eastAsia="Arial" w:hAnsi="Arial"/>
          <w:b/>
          <w:bCs/>
          <w:color w:val="1F2937"/>
          <w:sz w:val="20"/>
          <w:szCs w:val="20"/>
        </w:rPr>
        <w:t xml:space="preserve">Syndication.</w:t>
      </w:r>
    </w:p>
    <w:p>
      <w:pPr>
        <w:spacing w:after="100"/>
        <w:ind w:left="360"/>
        <w:jc w:val="both"/>
      </w:pPr>
      <w:r>
        <w:rPr>
          <w:rFonts w:ascii="Arial" w:cs="Arial" w:eastAsia="Arial" w:hAnsi="Arial"/>
          <w:color w:val="374151"/>
          <w:sz w:val="20"/>
          <w:szCs w:val="20"/>
        </w:rPr>
        <w:t xml:space="preserve">Premier II offers structured co-investment rights to LPs on direct satellite positions. Co-investments are sourced through the three-tier architecture described in 1.1.2. All co-investments target direct cap table access where possible, with no additional SPV carry layer. Premier II takes first allocation on every direct opportunity up to its written per-deal capacity. LP co-investment terms are no less favorable than outside investors.</w:t>
      </w:r>
    </w:p>
    <w:p>
      <w:pPr>
        <w:spacing w:after="100"/>
      </w:pPr>
      <w:r>
        <w:t xml:space="preserve"/>
      </w:r>
    </w:p>
    <w:p>
      <w:pPr>
        <w:spacing w:after="60" w:before="160"/>
      </w:pPr>
      <w:r>
        <w:rPr>
          <w:rFonts w:ascii="Arial" w:cs="Arial" w:eastAsia="Arial" w:hAnsi="Arial"/>
          <w:b/>
          <w:bCs/>
          <w:color w:val="0066CC"/>
          <w:sz w:val="20"/>
          <w:szCs w:val="20"/>
        </w:rPr>
        <w:t xml:space="preserve">1.2.4 </w:t>
      </w:r>
      <w:r>
        <w:rPr>
          <w:rFonts w:ascii="Arial" w:cs="Arial" w:eastAsia="Arial" w:hAnsi="Arial"/>
          <w:b/>
          <w:bCs/>
          <w:color w:val="1F2937"/>
          <w:sz w:val="20"/>
          <w:szCs w:val="20"/>
        </w:rPr>
        <w:t xml:space="preserve">Investments that will not be considered.</w:t>
      </w:r>
    </w:p>
    <w:p>
      <w:pPr>
        <w:pStyle w:val="ListParagraph"/>
        <w:numPr>
          <w:ilvl w:val="0"/>
          <w:numId w:val="2"/>
        </w:numPr>
        <w:spacing w:after="80"/>
        <w:ind w:left="720" w:hanging="360"/>
      </w:pPr>
      <w:r>
        <w:rPr>
          <w:rFonts w:ascii="Arial" w:cs="Arial" w:eastAsia="Arial" w:hAnsi="Arial"/>
          <w:color w:val="374151"/>
          <w:sz w:val="20"/>
          <w:szCs w:val="20"/>
        </w:rPr>
        <w:t xml:space="preserve">Tobacco, gambling, predatory lending, firearms, fossil fuels</w:t>
      </w:r>
    </w:p>
    <w:p>
      <w:pPr>
        <w:pStyle w:val="ListParagraph"/>
        <w:numPr>
          <w:ilvl w:val="0"/>
          <w:numId w:val="2"/>
        </w:numPr>
        <w:spacing w:after="80"/>
        <w:ind w:left="720" w:hanging="360"/>
      </w:pPr>
      <w:r>
        <w:rPr>
          <w:rFonts w:ascii="Arial" w:cs="Arial" w:eastAsia="Arial" w:hAnsi="Arial"/>
          <w:color w:val="374151"/>
          <w:sz w:val="20"/>
          <w:szCs w:val="20"/>
        </w:rPr>
        <w:t xml:space="preserve">Late-stage secondaries with two carry layers where net return cannot credibly exceed the FoF sleeve ceiling</w:t>
      </w:r>
    </w:p>
    <w:p>
      <w:pPr>
        <w:pStyle w:val="ListParagraph"/>
        <w:numPr>
          <w:ilvl w:val="0"/>
          <w:numId w:val="2"/>
        </w:numPr>
        <w:spacing w:after="80"/>
        <w:ind w:left="720" w:hanging="360"/>
      </w:pPr>
      <w:r>
        <w:rPr>
          <w:rFonts w:ascii="Arial" w:cs="Arial" w:eastAsia="Arial" w:hAnsi="Arial"/>
          <w:color w:val="374151"/>
          <w:sz w:val="20"/>
          <w:szCs w:val="20"/>
        </w:rPr>
        <w:t xml:space="preserve">Any deals prohibited by the Limited Partnership Agreement</w:t>
      </w:r>
    </w:p>
    <w:p>
      <w:pPr>
        <w:spacing w:after="100"/>
      </w:pPr>
      <w:r>
        <w:t xml:space="preserve"/>
      </w:r>
    </w:p>
    <w:p>
      <w:pPr>
        <w:spacing w:after="60" w:before="160"/>
      </w:pPr>
      <w:r>
        <w:rPr>
          <w:rFonts w:ascii="Arial" w:cs="Arial" w:eastAsia="Arial" w:hAnsi="Arial"/>
          <w:b/>
          <w:bCs/>
          <w:color w:val="0066CC"/>
          <w:sz w:val="20"/>
          <w:szCs w:val="20"/>
        </w:rPr>
        <w:t xml:space="preserve">1.2.5 </w:t>
      </w:r>
      <w:r>
        <w:rPr>
          <w:rFonts w:ascii="Arial" w:cs="Arial" w:eastAsia="Arial" w:hAnsi="Arial"/>
          <w:b/>
          <w:bCs/>
          <w:color w:val="1F2937"/>
          <w:sz w:val="20"/>
          <w:szCs w:val="20"/>
        </w:rPr>
        <w:t xml:space="preserve">Due diligence process.</w:t>
      </w:r>
    </w:p>
    <w:p>
      <w:pPr>
        <w:spacing w:after="100"/>
        <w:ind w:left="360"/>
        <w:jc w:val="both"/>
      </w:pPr>
      <w:r>
        <w:rPr>
          <w:rFonts w:ascii="Arial" w:cs="Arial" w:eastAsia="Arial" w:hAnsi="Arial"/>
          <w:color w:val="374151"/>
          <w:sz w:val="20"/>
          <w:szCs w:val="20"/>
        </w:rPr>
        <w:t xml:space="preserve">A structured due diligence process includes: investment thesis evaluation, track record analysis (base TVPI from administrator-verified financials, cap-adjusted TVPI from GP communications), co-investment program assessment (fee structure, allocation priority, deal flow volume), GP communication quality and off-cycle relationship building, and Investment Committee decision-making. See Process and Decision Making for Fund Selection 2024 for full detail.</w:t>
      </w:r>
    </w:p>
    <w:p>
      <w:pPr>
        <w:spacing w:after="100"/>
      </w:pPr>
      <w:r>
        <w:t xml:space="preserve"/>
      </w:r>
    </w:p>
    <w:p>
      <w:pPr>
        <w:spacing w:after="60" w:before="160"/>
      </w:pPr>
      <w:r>
        <w:rPr>
          <w:rFonts w:ascii="Arial" w:cs="Arial" w:eastAsia="Arial" w:hAnsi="Arial"/>
          <w:b/>
          <w:bCs/>
          <w:color w:val="0066CC"/>
          <w:sz w:val="20"/>
          <w:szCs w:val="20"/>
        </w:rPr>
        <w:t xml:space="preserve">1.2.6 </w:t>
      </w:r>
      <w:r>
        <w:rPr>
          <w:rFonts w:ascii="Arial" w:cs="Arial" w:eastAsia="Arial" w:hAnsi="Arial"/>
          <w:b/>
          <w:bCs/>
          <w:color w:val="1F2937"/>
          <w:sz w:val="20"/>
          <w:szCs w:val="20"/>
        </w:rPr>
        <w:t xml:space="preserve">Investment structures and vehicles.</w:t>
      </w:r>
    </w:p>
    <w:p>
      <w:pPr>
        <w:pStyle w:val="ListParagraph"/>
        <w:numPr>
          <w:ilvl w:val="0"/>
          <w:numId w:val="2"/>
        </w:numPr>
        <w:spacing w:after="80"/>
        <w:ind w:left="720" w:hanging="360"/>
      </w:pPr>
      <w:r>
        <w:rPr>
          <w:rFonts w:ascii="Arial" w:cs="Arial" w:eastAsia="Arial" w:hAnsi="Arial"/>
          <w:color w:val="374151"/>
          <w:sz w:val="20"/>
          <w:szCs w:val="20"/>
        </w:rPr>
        <w:t xml:space="preserve">Limited Partnerships — primary vehicle for FoF sleeve commitments</w:t>
      </w:r>
    </w:p>
    <w:p>
      <w:pPr>
        <w:pStyle w:val="ListParagraph"/>
        <w:numPr>
          <w:ilvl w:val="0"/>
          <w:numId w:val="2"/>
        </w:numPr>
        <w:spacing w:after="80"/>
        <w:ind w:left="720" w:hanging="360"/>
      </w:pPr>
      <w:r>
        <w:rPr>
          <w:rFonts w:ascii="Arial" w:cs="Arial" w:eastAsia="Arial" w:hAnsi="Arial"/>
          <w:color w:val="374151"/>
          <w:sz w:val="20"/>
          <w:szCs w:val="20"/>
        </w:rPr>
        <w:t xml:space="preserve">Direct cap table participation — preferred structure for satellite sleeve positions</w:t>
      </w:r>
    </w:p>
    <w:p>
      <w:pPr>
        <w:pStyle w:val="ListParagraph"/>
        <w:numPr>
          <w:ilvl w:val="0"/>
          <w:numId w:val="2"/>
        </w:numPr>
        <w:spacing w:after="80"/>
        <w:ind w:left="720" w:hanging="360"/>
      </w:pPr>
      <w:r>
        <w:rPr>
          <w:rFonts w:ascii="Arial" w:cs="Arial" w:eastAsia="Arial" w:hAnsi="Arial"/>
          <w:color w:val="374151"/>
          <w:sz w:val="20"/>
          <w:szCs w:val="20"/>
        </w:rPr>
        <w:t xml:space="preserve">SPVs — used selectively where direct cap table access is unavailable; SPV carry is evaluated against net return thresholds before commitment</w:t>
      </w:r>
    </w:p>
    <w:p>
      <w:pPr>
        <w:spacing w:after="100"/>
      </w:pPr>
      <w:r>
        <w:t xml:space="preserve"/>
      </w:r>
    </w:p>
    <w:p>
      <w:pPr>
        <w:spacing w:after="60" w:before="160"/>
      </w:pPr>
      <w:r>
        <w:rPr>
          <w:rFonts w:ascii="Arial" w:cs="Arial" w:eastAsia="Arial" w:hAnsi="Arial"/>
          <w:b/>
          <w:bCs/>
          <w:color w:val="0066CC"/>
          <w:sz w:val="20"/>
          <w:szCs w:val="20"/>
        </w:rPr>
        <w:t xml:space="preserve">1.2.7 </w:t>
      </w:r>
      <w:r>
        <w:rPr>
          <w:rFonts w:ascii="Arial" w:cs="Arial" w:eastAsia="Arial" w:hAnsi="Arial"/>
          <w:b/>
          <w:bCs/>
          <w:color w:val="1F2937"/>
          <w:sz w:val="20"/>
          <w:szCs w:val="20"/>
        </w:rPr>
        <w:t xml:space="preserve">Co-investments.</w:t>
      </w:r>
    </w:p>
    <w:p>
      <w:pPr>
        <w:spacing w:after="100"/>
        <w:ind w:left="360"/>
        <w:jc w:val="both"/>
      </w:pPr>
      <w:r>
        <w:rPr>
          <w:rFonts w:ascii="Arial" w:cs="Arial" w:eastAsia="Arial" w:hAnsi="Arial"/>
          <w:color w:val="374151"/>
          <w:sz w:val="20"/>
          <w:szCs w:val="20"/>
        </w:rPr>
        <w:t xml:space="preserve">Yes. Premier II offers co-investment opportunities to LPs on direct satellite positions on a discretionary basis. LP co-investments are offered on terms no less favorable than outside investors, with a priority allocation window of 5 business days per deal.</w:t>
      </w:r>
    </w:p>
    <w:p>
      <w:pPr>
        <w:spacing w:after="100"/>
      </w:pPr>
      <w:r>
        <w:t xml:space="preserve"/>
      </w:r>
    </w:p>
    <w:p>
      <w:pPr>
        <w:spacing w:after="80" w:before="200"/>
      </w:pPr>
      <w:r>
        <w:rPr>
          <w:rFonts w:ascii="Arial" w:cs="Arial" w:eastAsia="Arial" w:hAnsi="Arial"/>
          <w:b/>
          <w:bCs/>
          <w:color w:val="0A1628"/>
          <w:sz w:val="22"/>
          <w:szCs w:val="22"/>
        </w:rPr>
        <w:t xml:space="preserve">1.3 Value Creation and Exit</w:t>
      </w:r>
    </w:p>
    <w:p>
      <w:pPr>
        <w:spacing w:after="100"/>
      </w:pPr>
      <w:r>
        <w:t xml:space="preserve"/>
      </w:r>
    </w:p>
    <w:p>
      <w:pPr>
        <w:spacing w:after="60" w:before="160"/>
      </w:pPr>
      <w:r>
        <w:rPr>
          <w:rFonts w:ascii="Arial" w:cs="Arial" w:eastAsia="Arial" w:hAnsi="Arial"/>
          <w:b/>
          <w:bCs/>
          <w:color w:val="0066CC"/>
          <w:sz w:val="20"/>
          <w:szCs w:val="20"/>
        </w:rPr>
        <w:t xml:space="preserve">1.3.1 </w:t>
      </w:r>
      <w:r>
        <w:rPr>
          <w:rFonts w:ascii="Arial" w:cs="Arial" w:eastAsia="Arial" w:hAnsi="Arial"/>
          <w:b/>
          <w:bCs/>
          <w:color w:val="1F2937"/>
          <w:sz w:val="20"/>
          <w:szCs w:val="20"/>
        </w:rPr>
        <w:t xml:space="preserve">Viability of the investment strategy.</w:t>
      </w:r>
    </w:p>
    <w:p>
      <w:pPr>
        <w:spacing w:after="100"/>
        <w:ind w:left="360"/>
        <w:jc w:val="both"/>
      </w:pPr>
      <w:r>
        <w:rPr>
          <w:rFonts w:ascii="Arial" w:cs="Arial" w:eastAsia="Arial" w:hAnsi="Arial"/>
          <w:color w:val="374151"/>
          <w:sz w:val="20"/>
          <w:szCs w:val="20"/>
        </w:rPr>
        <w:t xml:space="preserve">The hybrid 70/30 structure addresses the core limitation of a pure fund of funds: fee compression. After two fee layers (underlying fund 2%/20% plus Premier II 1%/10%), the realistic net return ceiling for the FoF sleeve is approximately 2.4–3.0x under most optimistic Carta benchmark assumptions. The satellite sleeve — operating with only Premier II’s single fee layer — is the mechanism that creates the potential for returns materially above this ceiling. Premier I validated the concept: the satellite position generated 7.33x on $500K cost while still unrealised.</w:t>
      </w:r>
    </w:p>
    <w:p>
      <w:pPr>
        <w:spacing w:after="100"/>
      </w:pPr>
      <w:r>
        <w:t xml:space="preserve"/>
      </w:r>
    </w:p>
    <w:p>
      <w:pPr>
        <w:spacing w:after="60" w:before="160"/>
      </w:pPr>
      <w:r>
        <w:rPr>
          <w:rFonts w:ascii="Arial" w:cs="Arial" w:eastAsia="Arial" w:hAnsi="Arial"/>
          <w:b/>
          <w:bCs/>
          <w:color w:val="0066CC"/>
          <w:sz w:val="20"/>
          <w:szCs w:val="20"/>
        </w:rPr>
        <w:t xml:space="preserve">1.3.2 </w:t>
      </w:r>
      <w:r>
        <w:rPr>
          <w:rFonts w:ascii="Arial" w:cs="Arial" w:eastAsia="Arial" w:hAnsi="Arial"/>
          <w:b/>
          <w:bCs/>
          <w:color w:val="1F2937"/>
          <w:sz w:val="20"/>
          <w:szCs w:val="20"/>
        </w:rPr>
        <w:t xml:space="preserve">Return profile threshold and holding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Scenario</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FoF Sleeve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Satellite Sleeve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Blended TVPI</w:t>
            </w:r>
          </w:p>
        </w:tc>
        <w:tc>
          <w:tcPr>
            <w:tcW w:type="dxa" w:w="1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Probability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Base 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~2.3x 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~5x gross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3.1x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~25%</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Target case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~2.5x net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~11x gross avg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5.0x</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Median (Monte Carlo)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1.91x 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3.17x gross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2.23x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50%</w:t>
            </w:r>
          </w:p>
        </w:tc>
      </w:tr>
    </w:tbl>
    <w:p>
      <w:pPr>
        <w:spacing w:after="100"/>
      </w:pPr>
      <w:r>
        <w:t xml:space="preserve"/>
      </w:r>
    </w:p>
    <w:p>
      <w:pPr>
        <w:spacing w:after="100"/>
        <w:ind w:left="360"/>
        <w:jc w:val="both"/>
      </w:pPr>
      <w:r>
        <w:rPr>
          <w:rFonts w:ascii="Arial" w:cs="Arial" w:eastAsia="Arial" w:hAnsi="Arial"/>
          <w:color w:val="374151"/>
          <w:sz w:val="20"/>
          <w:szCs w:val="20"/>
        </w:rPr>
        <w:t xml:space="preserve">Return projections are illustrative scenarios, not forecasts. Full Monte Carlo probability analysis (100,000 simulations) is available in the fund’s supplementary model documentation. Target IRR: 20–25% net. Holding period: 10 years with standard extension provisions.</w:t>
      </w:r>
    </w:p>
    <w:p>
      <w:pPr>
        <w:spacing w:after="100"/>
      </w:pPr>
      <w:r>
        <w:t xml:space="preserve"/>
      </w:r>
    </w:p>
    <w:p>
      <w:pPr>
        <w:spacing w:after="60" w:before="160"/>
      </w:pPr>
      <w:r>
        <w:rPr>
          <w:rFonts w:ascii="Arial" w:cs="Arial" w:eastAsia="Arial" w:hAnsi="Arial"/>
          <w:b/>
          <w:bCs/>
          <w:color w:val="0066CC"/>
          <w:sz w:val="20"/>
          <w:szCs w:val="20"/>
        </w:rPr>
        <w:t xml:space="preserve">1.3.3 </w:t>
      </w:r>
      <w:r>
        <w:rPr>
          <w:rFonts w:ascii="Arial" w:cs="Arial" w:eastAsia="Arial" w:hAnsi="Arial"/>
          <w:b/>
          <w:bCs/>
          <w:color w:val="1F2937"/>
          <w:sz w:val="20"/>
          <w:szCs w:val="20"/>
        </w:rPr>
        <w:t xml:space="preserve">Exit strategy.</w:t>
      </w:r>
    </w:p>
    <w:p>
      <w:pPr>
        <w:spacing w:after="100"/>
        <w:ind w:left="360"/>
        <w:jc w:val="both"/>
      </w:pPr>
      <w:r>
        <w:rPr>
          <w:rFonts w:ascii="Arial" w:cs="Arial" w:eastAsia="Arial" w:hAnsi="Arial"/>
          <w:color w:val="374151"/>
          <w:sz w:val="20"/>
          <w:szCs w:val="20"/>
        </w:rPr>
        <w:t xml:space="preserve">FoF sleeve exits are managed by the underlying GPs through M&amp;A, IPO, and secondary sales. Satellite sleeve exits follow the lead investor’s timeline, with secondary market participation available where liquidity windows open prior to fund end.</w:t>
      </w:r>
    </w:p>
    <w:p>
      <w:pPr>
        <w:spacing w:after="100"/>
      </w:pPr>
      <w:r>
        <w:t xml:space="preserve"/>
      </w:r>
    </w:p>
    <w:p>
      <w:pPr>
        <w:spacing w:after="60" w:before="160"/>
      </w:pPr>
      <w:r>
        <w:rPr>
          <w:rFonts w:ascii="Arial" w:cs="Arial" w:eastAsia="Arial" w:hAnsi="Arial"/>
          <w:b/>
          <w:bCs/>
          <w:color w:val="0066CC"/>
          <w:sz w:val="20"/>
          <w:szCs w:val="20"/>
        </w:rPr>
        <w:t xml:space="preserve">1.3.4–1.3.7 </w:t>
      </w:r>
      <w:r>
        <w:rPr>
          <w:rFonts w:ascii="Arial" w:cs="Arial" w:eastAsia="Arial" w:hAnsi="Arial"/>
          <w:b/>
          <w:bCs/>
          <w:color w:val="1F2937"/>
          <w:sz w:val="20"/>
          <w:szCs w:val="20"/>
        </w:rPr>
        <w:t xml:space="preserve">Portfolio company involvement and value creation.</w:t>
      </w:r>
    </w:p>
    <w:p>
      <w:pPr>
        <w:spacing w:after="100"/>
        <w:ind w:left="360"/>
        <w:jc w:val="both"/>
      </w:pPr>
      <w:r>
        <w:rPr>
          <w:rFonts w:ascii="Arial" w:cs="Arial" w:eastAsia="Arial" w:hAnsi="Arial"/>
          <w:color w:val="374151"/>
          <w:sz w:val="20"/>
          <w:szCs w:val="20"/>
        </w:rPr>
        <w:t xml:space="preserve">Premier II does not engage directly with portfolio companies. Value creation is delivered through: fund selection with high-engagement managers who provide active governance and founder mentorship; strategic operational oversight at the GP level; and co-investment access that allows LPs to participate in breakout opportunities identified by proven GPs.</w:t>
      </w:r>
    </w:p>
    <w:p>
      <w:pPr>
        <w:spacing w:after="100"/>
      </w:pPr>
      <w:r>
        <w:t xml:space="preserve"/>
      </w:r>
    </w:p>
    <w:p>
      <w:r>
        <w:br w:type="page"/>
      </w:r>
    </w:p>
    <w:p>
      <w:pPr>
        <w:spacing w:after="120" w:before="280"/>
      </w:pPr>
      <w:r>
        <w:rPr>
          <w:rFonts w:ascii="Arial" w:cs="Arial" w:eastAsia="Arial" w:hAnsi="Arial"/>
          <w:b/>
          <w:bCs/>
          <w:color w:val="0A1628"/>
          <w:sz w:val="28"/>
          <w:szCs w:val="28"/>
        </w:rPr>
        <w:t xml:space="preserve">2. FUND STRUCTURE, MANAGEMENT, AND ADMINISTRATION</w:t>
      </w:r>
    </w:p>
    <w:p>
      <w:pPr>
        <w:pBdr>
          <w:bottom w:val="single" w:color="0066CC" w:sz="6" w:space="1"/>
        </w:pBdr>
        <w:spacing w:after="160" w:before="60"/>
      </w:pPr>
    </w:p>
    <w:p>
      <w:pPr>
        <w:spacing w:after="80" w:before="200"/>
      </w:pPr>
      <w:r>
        <w:rPr>
          <w:rFonts w:ascii="Arial" w:cs="Arial" w:eastAsia="Arial" w:hAnsi="Arial"/>
          <w:b/>
          <w:bCs/>
          <w:color w:val="0A1628"/>
          <w:sz w:val="22"/>
          <w:szCs w:val="22"/>
        </w:rPr>
        <w:t xml:space="preserve">2.1 Fund</w:t>
      </w:r>
    </w:p>
    <w:p>
      <w:pPr>
        <w:spacing w:after="100"/>
      </w:pPr>
      <w:r>
        <w:t xml:space="preserve"/>
      </w:r>
    </w:p>
    <w:p>
      <w:pPr>
        <w:spacing w:after="60" w:before="160"/>
      </w:pPr>
      <w:r>
        <w:rPr>
          <w:rFonts w:ascii="Arial" w:cs="Arial" w:eastAsia="Arial" w:hAnsi="Arial"/>
          <w:b/>
          <w:bCs/>
          <w:color w:val="0066CC"/>
          <w:sz w:val="20"/>
          <w:szCs w:val="20"/>
        </w:rPr>
        <w:t xml:space="preserve">2.1.1 </w:t>
      </w:r>
      <w:r>
        <w:rPr>
          <w:rFonts w:ascii="Arial" w:cs="Arial" w:eastAsia="Arial" w:hAnsi="Arial"/>
          <w:b/>
          <w:bCs/>
          <w:color w:val="1F2937"/>
          <w:sz w:val="20"/>
          <w:szCs w:val="20"/>
        </w:rPr>
        <w:t xml:space="preserve">Fund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Minimum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$5M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Target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$15M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Maximum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$25M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First close (completed)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$2.6M · May 2026</w:t>
            </w:r>
          </w:p>
        </w:tc>
      </w:tr>
    </w:tbl>
    <w:p>
      <w:pPr>
        <w:spacing w:after="100"/>
      </w:pPr>
      <w:r>
        <w:t xml:space="preserve"/>
      </w:r>
    </w:p>
    <w:p>
      <w:pPr>
        <w:spacing w:after="60" w:before="160"/>
      </w:pPr>
      <w:r>
        <w:rPr>
          <w:rFonts w:ascii="Arial" w:cs="Arial" w:eastAsia="Arial" w:hAnsi="Arial"/>
          <w:b/>
          <w:bCs/>
          <w:color w:val="0066CC"/>
          <w:sz w:val="20"/>
          <w:szCs w:val="20"/>
        </w:rPr>
        <w:t xml:space="preserve">2.1.2 </w:t>
      </w:r>
      <w:r>
        <w:rPr>
          <w:rFonts w:ascii="Arial" w:cs="Arial" w:eastAsia="Arial" w:hAnsi="Arial"/>
          <w:b/>
          <w:bCs/>
          <w:color w:val="1F2937"/>
          <w:sz w:val="20"/>
          <w:szCs w:val="20"/>
        </w:rPr>
        <w:t xml:space="preserve">Why are fund sizes appropriate?</w:t>
      </w:r>
    </w:p>
    <w:p>
      <w:pPr>
        <w:spacing w:after="100"/>
        <w:ind w:left="360"/>
        <w:jc w:val="both"/>
      </w:pPr>
      <w:r>
        <w:rPr>
          <w:rFonts w:ascii="Arial" w:cs="Arial" w:eastAsia="Arial" w:hAnsi="Arial"/>
          <w:color w:val="374151"/>
          <w:sz w:val="20"/>
          <w:szCs w:val="20"/>
        </w:rPr>
        <w:t xml:space="preserve">All fund sizes align with the base-case strategy. At $5M minimum the fund can make 15–17 FoF commitments at $250–350K each with limited satellite deployment. At $15M target the fund reaches full 17–20 fund portfolio plus 6 satellite positions at meaningful check sizes. At $25M maximum the fund remains within emerging manager territory where Premier’s sourcing edge is most effective — larger sizes would require competing for deals in more institutional channels where that edge diminishes.</w:t>
      </w:r>
    </w:p>
    <w:p>
      <w:pPr>
        <w:spacing w:after="100"/>
      </w:pPr>
      <w:r>
        <w:t xml:space="preserve"/>
      </w:r>
    </w:p>
    <w:p>
      <w:pPr>
        <w:spacing w:after="60" w:before="160"/>
      </w:pPr>
      <w:r>
        <w:rPr>
          <w:rFonts w:ascii="Arial" w:cs="Arial" w:eastAsia="Arial" w:hAnsi="Arial"/>
          <w:b/>
          <w:bCs/>
          <w:color w:val="0066CC"/>
          <w:sz w:val="20"/>
          <w:szCs w:val="20"/>
        </w:rPr>
        <w:t xml:space="preserve">2.1.3 </w:t>
      </w:r>
      <w:r>
        <w:rPr>
          <w:rFonts w:ascii="Arial" w:cs="Arial" w:eastAsia="Arial" w:hAnsi="Arial"/>
          <w:b/>
          <w:bCs/>
          <w:color w:val="1F2937"/>
          <w:sz w:val="20"/>
          <w:szCs w:val="20"/>
        </w:rPr>
        <w:t xml:space="preserve">Fundraising timeline.</w:t>
      </w:r>
    </w:p>
    <w:p>
      <w:pPr>
        <w:pStyle w:val="ListParagraph"/>
        <w:numPr>
          <w:ilvl w:val="0"/>
          <w:numId w:val="2"/>
        </w:numPr>
        <w:spacing w:after="80"/>
        <w:ind w:left="720" w:hanging="360"/>
      </w:pPr>
      <w:r>
        <w:rPr>
          <w:rFonts w:ascii="Arial" w:cs="Arial" w:eastAsia="Arial" w:hAnsi="Arial"/>
          <w:color w:val="374151"/>
          <w:sz w:val="20"/>
          <w:szCs w:val="20"/>
        </w:rPr>
        <w:t xml:space="preserve">First close: completed May 2026 at $2.6M</w:t>
      </w:r>
    </w:p>
    <w:p>
      <w:pPr>
        <w:pStyle w:val="ListParagraph"/>
        <w:numPr>
          <w:ilvl w:val="0"/>
          <w:numId w:val="2"/>
        </w:numPr>
        <w:spacing w:after="80"/>
        <w:ind w:left="720" w:hanging="360"/>
      </w:pPr>
      <w:r>
        <w:rPr>
          <w:rFonts w:ascii="Arial" w:cs="Arial" w:eastAsia="Arial" w:hAnsi="Arial"/>
          <w:color w:val="374151"/>
          <w:sz w:val="20"/>
          <w:szCs w:val="20"/>
        </w:rPr>
        <w:t xml:space="preserve">Second close target: Q3/Q4 2026</w:t>
      </w:r>
    </w:p>
    <w:p>
      <w:pPr>
        <w:pStyle w:val="ListParagraph"/>
        <w:numPr>
          <w:ilvl w:val="0"/>
          <w:numId w:val="2"/>
        </w:numPr>
        <w:spacing w:after="80"/>
        <w:ind w:left="720" w:hanging="360"/>
      </w:pPr>
      <w:r>
        <w:rPr>
          <w:rFonts w:ascii="Arial" w:cs="Arial" w:eastAsia="Arial" w:hAnsi="Arial"/>
          <w:color w:val="374151"/>
          <w:sz w:val="20"/>
          <w:szCs w:val="20"/>
        </w:rPr>
        <w:t xml:space="preserve">Final close target: Q1 2027</w:t>
      </w:r>
    </w:p>
    <w:p>
      <w:pPr>
        <w:pStyle w:val="ListParagraph"/>
        <w:numPr>
          <w:ilvl w:val="0"/>
          <w:numId w:val="2"/>
        </w:numPr>
        <w:spacing w:after="80"/>
        <w:ind w:left="720" w:hanging="360"/>
      </w:pPr>
      <w:r>
        <w:rPr>
          <w:rFonts w:ascii="Arial" w:cs="Arial" w:eastAsia="Arial" w:hAnsi="Arial"/>
          <w:color w:val="374151"/>
          <w:sz w:val="20"/>
          <w:szCs w:val="20"/>
        </w:rPr>
        <w:t xml:space="preserve">Approach: engages only investors with firm commitments, avoiding reliance on soft commitments</w:t>
      </w:r>
    </w:p>
    <w:p>
      <w:pPr>
        <w:spacing w:after="100"/>
      </w:pPr>
      <w:r>
        <w:t xml:space="preserve"/>
      </w:r>
    </w:p>
    <w:p>
      <w:pPr>
        <w:spacing w:after="60" w:before="160"/>
      </w:pPr>
      <w:r>
        <w:rPr>
          <w:rFonts w:ascii="Arial" w:cs="Arial" w:eastAsia="Arial" w:hAnsi="Arial"/>
          <w:b/>
          <w:bCs/>
          <w:color w:val="0066CC"/>
          <w:sz w:val="20"/>
          <w:szCs w:val="20"/>
        </w:rPr>
        <w:t xml:space="preserve">2.1.4 </w:t>
      </w:r>
      <w:r>
        <w:rPr>
          <w:rFonts w:ascii="Arial" w:cs="Arial" w:eastAsia="Arial" w:hAnsi="Arial"/>
          <w:b/>
          <w:bCs/>
          <w:color w:val="1F2937"/>
          <w:sz w:val="20"/>
          <w:szCs w:val="20"/>
        </w:rPr>
        <w:t xml:space="preserve">Deviations from model LPA.</w:t>
      </w:r>
    </w:p>
    <w:p>
      <w:pPr>
        <w:spacing w:after="100"/>
        <w:ind w:left="360"/>
        <w:jc w:val="both"/>
      </w:pPr>
      <w:r>
        <w:rPr>
          <w:rFonts w:ascii="Arial" w:cs="Arial" w:eastAsia="Arial" w:hAnsi="Arial"/>
          <w:color w:val="374151"/>
          <w:sz w:val="20"/>
          <w:szCs w:val="20"/>
        </w:rPr>
        <w:t xml:space="preserve">The fund’s Limited Partnership Agreement is structured in alignment with standard industry practices. No material deviations from the model LPA. Fee structure: 1% management fee, 10% carry at Premier II level. No management fee or carry at Premier I level — Premier I was structured without GP-level fees.</w:t>
      </w:r>
    </w:p>
    <w:p>
      <w:pPr>
        <w:spacing w:after="100"/>
      </w:pPr>
      <w:r>
        <w:t xml:space="preserve"/>
      </w:r>
    </w:p>
    <w:p>
      <w:pPr>
        <w:spacing w:after="80" w:before="200"/>
      </w:pPr>
      <w:r>
        <w:rPr>
          <w:rFonts w:ascii="Arial" w:cs="Arial" w:eastAsia="Arial" w:hAnsi="Arial"/>
          <w:b/>
          <w:bCs/>
          <w:color w:val="0A1628"/>
          <w:sz w:val="22"/>
          <w:szCs w:val="22"/>
        </w:rPr>
        <w:t xml:space="preserve">2.2 The Management Company and the General Partner</w:t>
      </w:r>
    </w:p>
    <w:p>
      <w:pPr>
        <w:spacing w:after="100"/>
      </w:pPr>
      <w:r>
        <w:t xml:space="preserve"/>
      </w:r>
    </w:p>
    <w:p>
      <w:pPr>
        <w:spacing w:after="60" w:before="160"/>
      </w:pPr>
      <w:r>
        <w:rPr>
          <w:rFonts w:ascii="Arial" w:cs="Arial" w:eastAsia="Arial" w:hAnsi="Arial"/>
          <w:b/>
          <w:bCs/>
          <w:color w:val="0066CC"/>
          <w:sz w:val="20"/>
          <w:szCs w:val="20"/>
        </w:rPr>
        <w:t xml:space="preserve">2.2.1 </w:t>
      </w:r>
      <w:r>
        <w:rPr>
          <w:rFonts w:ascii="Arial" w:cs="Arial" w:eastAsia="Arial" w:hAnsi="Arial"/>
          <w:b/>
          <w:bCs/>
          <w:color w:val="1F2937"/>
          <w:sz w:val="20"/>
          <w:szCs w:val="20"/>
        </w:rPr>
        <w:t xml:space="preserve">Unrelated business lines.</w:t>
      </w:r>
    </w:p>
    <w:p>
      <w:pPr>
        <w:spacing w:after="100"/>
        <w:ind w:left="360"/>
        <w:jc w:val="both"/>
      </w:pPr>
      <w:r>
        <w:rPr>
          <w:rFonts w:ascii="Arial" w:cs="Arial" w:eastAsia="Arial" w:hAnsi="Arial"/>
          <w:color w:val="374151"/>
          <w:sz w:val="20"/>
          <w:szCs w:val="20"/>
        </w:rPr>
        <w:t xml:space="preserve">The management company is dedicated solely to managing the fund and has no unrelated business lines or external income sources.</w:t>
      </w:r>
    </w:p>
    <w:p>
      <w:pPr>
        <w:spacing w:after="100"/>
      </w:pPr>
      <w:r>
        <w:t xml:space="preserve"/>
      </w:r>
    </w:p>
    <w:p>
      <w:pPr>
        <w:spacing w:after="60" w:before="160"/>
      </w:pPr>
      <w:r>
        <w:rPr>
          <w:rFonts w:ascii="Arial" w:cs="Arial" w:eastAsia="Arial" w:hAnsi="Arial"/>
          <w:b/>
          <w:bCs/>
          <w:color w:val="0066CC"/>
          <w:sz w:val="20"/>
          <w:szCs w:val="20"/>
        </w:rPr>
        <w:t xml:space="preserve">2.2.2 </w:t>
      </w:r>
      <w:r>
        <w:rPr>
          <w:rFonts w:ascii="Arial" w:cs="Arial" w:eastAsia="Arial" w:hAnsi="Arial"/>
          <w:b/>
          <w:bCs/>
          <w:color w:val="1F2937"/>
          <w:sz w:val="20"/>
          <w:szCs w:val="20"/>
        </w:rPr>
        <w:t xml:space="preserve">Previous investment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800"/>
        <w:gridCol w:w="2360"/>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Fund</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Vintage</w:t>
            </w:r>
          </w:p>
        </w:tc>
        <w:tc>
          <w:tcPr>
            <w:tcW w:type="dxa" w:w="3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Strategy</w:t>
            </w:r>
          </w:p>
        </w:tc>
        <w:tc>
          <w:tcPr>
            <w:tcW w:type="dxa" w:w="2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Decile Capital Premier 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2022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Pure FoF · 19 emerging manager funds · one direct satellite position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Fully deployed · Q1 2026 TVPI 1.75x cap-adj</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Decile Capital Premier II</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2025</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70/30 hybrid · FoF + direct satellite sleeve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Active · first close $2.6M</w:t>
            </w:r>
          </w:p>
        </w:tc>
      </w:tr>
    </w:tbl>
    <w:p>
      <w:pPr>
        <w:spacing w:after="100"/>
      </w:pPr>
      <w:r>
        <w:t xml:space="preserve"/>
      </w:r>
    </w:p>
    <w:p>
      <w:pPr>
        <w:spacing w:after="60" w:before="160"/>
      </w:pPr>
      <w:r>
        <w:rPr>
          <w:rFonts w:ascii="Arial" w:cs="Arial" w:eastAsia="Arial" w:hAnsi="Arial"/>
          <w:b/>
          <w:bCs/>
          <w:color w:val="0066CC"/>
          <w:sz w:val="20"/>
          <w:szCs w:val="20"/>
        </w:rPr>
        <w:t xml:space="preserve">2.2.3 </w:t>
      </w:r>
      <w:r>
        <w:rPr>
          <w:rFonts w:ascii="Arial" w:cs="Arial" w:eastAsia="Arial" w:hAnsi="Arial"/>
          <w:b/>
          <w:bCs/>
          <w:color w:val="1F2937"/>
          <w:sz w:val="20"/>
          <w:szCs w:val="20"/>
        </w:rPr>
        <w:t xml:space="preserve">Decision-making process.</w:t>
      </w:r>
    </w:p>
    <w:p>
      <w:pPr>
        <w:spacing w:after="100"/>
        <w:ind w:left="360"/>
        <w:jc w:val="both"/>
      </w:pPr>
      <w:r>
        <w:rPr>
          <w:rFonts w:ascii="Arial" w:cs="Arial" w:eastAsia="Arial" w:hAnsi="Arial"/>
          <w:color w:val="374151"/>
          <w:sz w:val="20"/>
          <w:szCs w:val="20"/>
        </w:rPr>
        <w:t xml:space="preserve">Decisions are made by the Investment Committee (IC) through consensus. Marko Hara, as an external contractor, serves in an advisory role providing independent investment analysis and recommendations but does not hold voting rights in the IC nor participate in final investment decisions. All investment and exit decisions are made independently by the IC.</w:t>
      </w:r>
    </w:p>
    <w:p>
      <w:pPr>
        <w:spacing w:after="100"/>
      </w:pPr>
      <w:r>
        <w:t xml:space="preserve"/>
      </w:r>
    </w:p>
    <w:p>
      <w:pPr>
        <w:spacing w:after="60" w:before="160"/>
      </w:pPr>
      <w:r>
        <w:rPr>
          <w:rFonts w:ascii="Arial" w:cs="Arial" w:eastAsia="Arial" w:hAnsi="Arial"/>
          <w:b/>
          <w:bCs/>
          <w:color w:val="0066CC"/>
          <w:sz w:val="20"/>
          <w:szCs w:val="20"/>
        </w:rPr>
        <w:t xml:space="preserve">2.2.4 </w:t>
      </w:r>
      <w:r>
        <w:rPr>
          <w:rFonts w:ascii="Arial" w:cs="Arial" w:eastAsia="Arial" w:hAnsi="Arial"/>
          <w:b/>
          <w:bCs/>
          <w:color w:val="1F2937"/>
          <w:sz w:val="20"/>
          <w:szCs w:val="20"/>
        </w:rPr>
        <w:t xml:space="preserve">GP contribution financing.</w:t>
      </w:r>
    </w:p>
    <w:p>
      <w:pPr>
        <w:spacing w:after="100"/>
        <w:ind w:left="360"/>
        <w:jc w:val="both"/>
      </w:pPr>
      <w:r>
        <w:rPr>
          <w:rFonts w:ascii="Arial" w:cs="Arial" w:eastAsia="Arial" w:hAnsi="Arial"/>
          <w:color w:val="374151"/>
          <w:sz w:val="20"/>
          <w:szCs w:val="20"/>
        </w:rPr>
        <w:t xml:space="preserve">The General Partner’s contribution will be financed directly from Decile Group’s balance sheet.</w:t>
      </w:r>
    </w:p>
    <w:p>
      <w:pPr>
        <w:spacing w:after="100"/>
      </w:pPr>
      <w:r>
        <w:t xml:space="preserve"/>
      </w:r>
    </w:p>
    <w:p>
      <w:pPr>
        <w:spacing w:after="60" w:before="160"/>
      </w:pPr>
      <w:r>
        <w:rPr>
          <w:rFonts w:ascii="Arial" w:cs="Arial" w:eastAsia="Arial" w:hAnsi="Arial"/>
          <w:b/>
          <w:bCs/>
          <w:color w:val="0066CC"/>
          <w:sz w:val="20"/>
          <w:szCs w:val="20"/>
        </w:rPr>
        <w:t xml:space="preserve">2.2.5 </w:t>
      </w:r>
      <w:r>
        <w:rPr>
          <w:rFonts w:ascii="Arial" w:cs="Arial" w:eastAsia="Arial" w:hAnsi="Arial"/>
          <w:b/>
          <w:bCs/>
          <w:color w:val="1F2937"/>
          <w:sz w:val="20"/>
          <w:szCs w:val="20"/>
        </w:rPr>
        <w:t xml:space="preserve">Fundraising plans over next five years.</w:t>
      </w:r>
    </w:p>
    <w:p>
      <w:pPr>
        <w:spacing w:after="100"/>
        <w:ind w:left="360"/>
        <w:jc w:val="both"/>
      </w:pPr>
      <w:r>
        <w:rPr>
          <w:rFonts w:ascii="Arial" w:cs="Arial" w:eastAsia="Arial" w:hAnsi="Arial"/>
          <w:color w:val="374151"/>
          <w:sz w:val="20"/>
          <w:szCs w:val="20"/>
        </w:rPr>
        <w:t xml:space="preserve">The management company aims to launch new funds every 18–36 months, scaling with larger emerging managers while maintaining a high-conviction selection approach. The planned progression includes: Premier III (anticipated 2027–2028), and a potential growth-stage direct vehicle (Decile Growth Opportunity Fund I) targeting Series B/C co-investments once a 3–4 deal track record is established across Premier I and II satellite positions.</w:t>
      </w:r>
    </w:p>
    <w:p>
      <w:pPr>
        <w:spacing w:after="100"/>
      </w:pPr>
      <w:r>
        <w:t xml:space="preserve"/>
      </w:r>
    </w:p>
    <w:p>
      <w:pPr>
        <w:spacing w:after="80" w:before="200"/>
      </w:pPr>
      <w:r>
        <w:rPr>
          <w:rFonts w:ascii="Arial" w:cs="Arial" w:eastAsia="Arial" w:hAnsi="Arial"/>
          <w:b/>
          <w:bCs/>
          <w:color w:val="0A1628"/>
          <w:sz w:val="22"/>
          <w:szCs w:val="22"/>
        </w:rPr>
        <w:t xml:space="preserve">2.3 Management Team</w:t>
      </w:r>
    </w:p>
    <w:p>
      <w:pPr>
        <w:spacing w:after="100"/>
      </w:pPr>
      <w:r>
        <w:t xml:space="preserve"/>
      </w:r>
    </w:p>
    <w:p>
      <w:pPr>
        <w:spacing w:after="60" w:before="160"/>
      </w:pPr>
      <w:r>
        <w:rPr>
          <w:rFonts w:ascii="Arial" w:cs="Arial" w:eastAsia="Arial" w:hAnsi="Arial"/>
          <w:b/>
          <w:bCs/>
          <w:color w:val="0066CC"/>
          <w:sz w:val="20"/>
          <w:szCs w:val="20"/>
        </w:rPr>
        <w:t xml:space="preserve">2.3.1 </w:t>
      </w:r>
      <w:r>
        <w:rPr>
          <w:rFonts w:ascii="Arial" w:cs="Arial" w:eastAsia="Arial" w:hAnsi="Arial"/>
          <w:b/>
          <w:bCs/>
          <w:color w:val="1F2937"/>
          <w:sz w:val="20"/>
          <w:szCs w:val="20"/>
        </w:rPr>
        <w:t xml:space="preserve">Team members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Name</w:t>
            </w:r>
          </w:p>
        </w:tc>
        <w:tc>
          <w:tcPr>
            <w:tcW w:type="dxa" w:w="5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Role</w:t>
            </w:r>
          </w:p>
        </w:tc>
        <w:tc>
          <w:tcPr>
            <w:tcW w:type="dxa" w:w="2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Voting Rights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Adeo Ressi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Managing Partner · Chairman of Investment Committee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Yes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Mike Suprovici</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General Partner · Investment Committee Member</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Marko Hara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Senior Investment Advisor (Contractor) · Investment analysis, emerging manager sourcing, fund strategy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No</w:t>
            </w:r>
          </w:p>
        </w:tc>
      </w:tr>
    </w:tbl>
    <w:p>
      <w:pPr>
        <w:spacing w:after="100"/>
      </w:pPr>
      <w:r>
        <w:t xml:space="preserve"/>
      </w:r>
    </w:p>
    <w:p>
      <w:pPr>
        <w:spacing w:after="60" w:before="160"/>
      </w:pPr>
      <w:r>
        <w:rPr>
          <w:rFonts w:ascii="Arial" w:cs="Arial" w:eastAsia="Arial" w:hAnsi="Arial"/>
          <w:b/>
          <w:bCs/>
          <w:color w:val="0066CC"/>
          <w:sz w:val="20"/>
          <w:szCs w:val="20"/>
        </w:rPr>
        <w:t xml:space="preserve">2.3.2–2.3.6 </w:t>
      </w:r>
      <w:r>
        <w:rPr>
          <w:rFonts w:ascii="Arial" w:cs="Arial" w:eastAsia="Arial" w:hAnsi="Arial"/>
          <w:b/>
          <w:bCs/>
          <w:color w:val="1F2937"/>
          <w:sz w:val="20"/>
          <w:szCs w:val="20"/>
        </w:rPr>
        <w:t xml:space="preserve">Team experience and collaboration.</w:t>
      </w:r>
    </w:p>
    <w:p>
      <w:pPr>
        <w:spacing w:after="100"/>
        <w:ind w:left="360"/>
        <w:jc w:val="both"/>
      </w:pPr>
      <w:r>
        <w:rPr>
          <w:rFonts w:ascii="Arial" w:cs="Arial" w:eastAsia="Arial" w:hAnsi="Arial"/>
          <w:color w:val="374151"/>
          <w:sz w:val="20"/>
          <w:szCs w:val="20"/>
        </w:rPr>
        <w:t xml:space="preserve">Adeo Ressi and Mike Suprovici have collaborated for over a decade, leading initiatives within VC Lab and Decile Group. They have successfully managed investment programs, accelerator networks, and venture funds together. Marko Hara brings extensive experience in pension fund investing with exposure to portfolios spanning several hundred VC fund relationships — experience that informs the co-investment program design and GP selection discipline. The team collectively has decades of investment experience in venture capital, private equity, and fund-of-funds investing.</w:t>
      </w:r>
    </w:p>
    <w:p>
      <w:pPr>
        <w:spacing w:after="100"/>
      </w:pPr>
      <w:r>
        <w:t xml:space="preserve"/>
      </w:r>
    </w:p>
    <w:p>
      <w:pPr>
        <w:spacing w:after="60" w:before="160"/>
      </w:pPr>
      <w:r>
        <w:rPr>
          <w:rFonts w:ascii="Arial" w:cs="Arial" w:eastAsia="Arial" w:hAnsi="Arial"/>
          <w:b/>
          <w:bCs/>
          <w:color w:val="0066CC"/>
          <w:sz w:val="20"/>
          <w:szCs w:val="20"/>
        </w:rPr>
        <w:t xml:space="preserve">2.3.13 </w:t>
      </w:r>
      <w:r>
        <w:rPr>
          <w:rFonts w:ascii="Arial" w:cs="Arial" w:eastAsia="Arial" w:hAnsi="Arial"/>
          <w:b/>
          <w:bCs/>
          <w:color w:val="1F2937"/>
          <w:sz w:val="20"/>
          <w:szCs w:val="20"/>
        </w:rPr>
        <w:t xml:space="preserve">Track record.</w:t>
      </w:r>
    </w:p>
    <w:p>
      <w:pPr>
        <w:spacing w:after="100"/>
        <w:ind w:left="360"/>
        <w:jc w:val="both"/>
      </w:pPr>
      <w:r>
        <w:rPr>
          <w:rFonts w:ascii="Arial" w:cs="Arial" w:eastAsia="Arial" w:hAnsi="Arial"/>
          <w:color w:val="374151"/>
          <w:sz w:val="20"/>
          <w:szCs w:val="20"/>
        </w:rPr>
        <w:t xml:space="preserve">Premier I (2022 vintage) performance as of Q1 2026:</w:t>
      </w:r>
    </w:p>
    <w:p>
      <w:pPr>
        <w:pStyle w:val="ListParagraph"/>
        <w:numPr>
          <w:ilvl w:val="0"/>
          <w:numId w:val="2"/>
        </w:numPr>
        <w:spacing w:after="80"/>
        <w:ind w:left="720" w:hanging="360"/>
      </w:pPr>
      <w:r>
        <w:rPr>
          <w:rFonts w:ascii="Arial" w:cs="Arial" w:eastAsia="Arial" w:hAnsi="Arial"/>
          <w:color w:val="374151"/>
          <w:sz w:val="20"/>
          <w:szCs w:val="20"/>
        </w:rPr>
        <w:t xml:space="preserve">Base TVPI: 1.14x (administrator-verified)</w:t>
      </w:r>
    </w:p>
    <w:p>
      <w:pPr>
        <w:pStyle w:val="ListParagraph"/>
        <w:numPr>
          <w:ilvl w:val="0"/>
          <w:numId w:val="2"/>
        </w:numPr>
        <w:spacing w:after="80"/>
        <w:ind w:left="720" w:hanging="360"/>
      </w:pPr>
      <w:r>
        <w:rPr>
          <w:rFonts w:ascii="Arial" w:cs="Arial" w:eastAsia="Arial" w:hAnsi="Arial"/>
          <w:color w:val="374151"/>
          <w:sz w:val="20"/>
          <w:szCs w:val="20"/>
        </w:rPr>
        <w:t xml:space="preserve">Cap-adjusted TVPI: 1.75x (includes GP-reported marks and Forge secondary pricing on xAI/SpaceX position)</w:t>
      </w:r>
    </w:p>
    <w:p>
      <w:pPr>
        <w:pStyle w:val="ListParagraph"/>
        <w:numPr>
          <w:ilvl w:val="0"/>
          <w:numId w:val="2"/>
        </w:numPr>
        <w:spacing w:after="80"/>
        <w:ind w:left="720" w:hanging="360"/>
      </w:pPr>
      <w:r>
        <w:rPr>
          <w:rFonts w:ascii="Arial" w:cs="Arial" w:eastAsia="Arial" w:hAnsi="Arial"/>
          <w:color w:val="374151"/>
          <w:sz w:val="20"/>
          <w:szCs w:val="20"/>
        </w:rPr>
        <w:t xml:space="preserve">Above 90th percentile on value-weighted vintage basis per Carta Q4 2025 benchmarks</w:t>
      </w:r>
    </w:p>
    <w:p>
      <w:pPr>
        <w:pStyle w:val="ListParagraph"/>
        <w:numPr>
          <w:ilvl w:val="0"/>
          <w:numId w:val="2"/>
        </w:numPr>
        <w:spacing w:after="80"/>
        <w:ind w:left="720" w:hanging="360"/>
      </w:pPr>
      <w:r>
        <w:rPr>
          <w:rFonts w:ascii="Arial" w:cs="Arial" w:eastAsia="Arial" w:hAnsi="Arial"/>
          <w:color w:val="374151"/>
          <w:sz w:val="20"/>
          <w:szCs w:val="20"/>
        </w:rPr>
        <w:t xml:space="preserve">11 of 19 active managers above Carta median; 6 top quartile; 3 top decile</w:t>
      </w:r>
    </w:p>
    <w:p>
      <w:pPr>
        <w:pStyle w:val="ListParagraph"/>
        <w:numPr>
          <w:ilvl w:val="0"/>
          <w:numId w:val="2"/>
        </w:numPr>
        <w:spacing w:after="80"/>
        <w:ind w:left="720" w:hanging="360"/>
      </w:pPr>
      <w:r>
        <w:rPr>
          <w:rFonts w:ascii="Arial" w:cs="Arial" w:eastAsia="Arial" w:hAnsi="Arial"/>
          <w:color w:val="374151"/>
          <w:sz w:val="20"/>
          <w:szCs w:val="20"/>
        </w:rPr>
        <w:t xml:space="preserve">Satellite position (xAI/SpaceX): 7.33x TVPI on $500K cost · Forge secondary pricing · confirmed share count</w:t>
      </w:r>
    </w:p>
    <w:p>
      <w:pPr>
        <w:spacing w:after="100"/>
        <w:ind w:left="360"/>
        <w:jc w:val="both"/>
      </w:pPr>
      <w:r>
        <w:rPr>
          <w:rFonts w:ascii="Arial" w:cs="Arial" w:eastAsia="Arial" w:hAnsi="Arial"/>
          <w:color w:val="374151"/>
          <w:sz w:val="20"/>
          <w:szCs w:val="20"/>
        </w:rPr>
        <w:t xml:space="preserve">Full performance detail is available to qualified LPs under NDA.</w:t>
      </w:r>
    </w:p>
    <w:p>
      <w:pPr>
        <w:spacing w:after="100"/>
      </w:pPr>
      <w:r>
        <w:t xml:space="preserve"/>
      </w:r>
    </w:p>
    <w:p>
      <w:r>
        <w:br w:type="page"/>
      </w:r>
    </w:p>
    <w:p>
      <w:pPr>
        <w:spacing w:after="120" w:before="280"/>
      </w:pPr>
      <w:r>
        <w:rPr>
          <w:rFonts w:ascii="Arial" w:cs="Arial" w:eastAsia="Arial" w:hAnsi="Arial"/>
          <w:b/>
          <w:bCs/>
          <w:color w:val="0A1628"/>
          <w:sz w:val="28"/>
          <w:szCs w:val="28"/>
        </w:rPr>
        <w:t xml:space="preserve">3. MARKET STATUS, COMPETITION, AND RISKS</w:t>
      </w:r>
    </w:p>
    <w:p>
      <w:pPr>
        <w:pBdr>
          <w:bottom w:val="single" w:color="0066CC" w:sz="6" w:space="1"/>
        </w:pBdr>
        <w:spacing w:after="160" w:before="60"/>
      </w:pPr>
    </w:p>
    <w:p>
      <w:pPr>
        <w:spacing w:after="100"/>
      </w:pPr>
      <w:r>
        <w:t xml:space="preserve"/>
      </w:r>
    </w:p>
    <w:p>
      <w:pPr>
        <w:spacing w:after="60" w:before="160"/>
      </w:pPr>
      <w:r>
        <w:rPr>
          <w:rFonts w:ascii="Arial" w:cs="Arial" w:eastAsia="Arial" w:hAnsi="Arial"/>
          <w:b/>
          <w:bCs/>
          <w:color w:val="0066CC"/>
          <w:sz w:val="20"/>
          <w:szCs w:val="20"/>
        </w:rPr>
        <w:t xml:space="preserve">3.1.1 </w:t>
      </w:r>
      <w:r>
        <w:rPr>
          <w:rFonts w:ascii="Arial" w:cs="Arial" w:eastAsia="Arial" w:hAnsi="Arial"/>
          <w:b/>
          <w:bCs/>
          <w:color w:val="1F2937"/>
          <w:sz w:val="20"/>
          <w:szCs w:val="20"/>
        </w:rPr>
        <w:t xml:space="preserve">Risk factors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Risk</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Description</w:t>
            </w:r>
          </w:p>
        </w:tc>
        <w:tc>
          <w:tcPr>
            <w:tcW w:type="dxa" w:w="4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Manager execution risk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First- and second-time fund managers may lack extensive track record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Rigorous due diligence; off-cycle relationship building; preference for managers with validated Premier I track records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Co-investment concentration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Satellite sleeve of 6 positions follows power law distribution — one or two poor outcomes can materially impact blended returns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Strict position filter: every satellite slot requires credible path to 15–20x gross; no late-stage secondaries at elevated valuations with double carry layers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Fee layer compression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Two fee layers on FoF sleeve (underlying fund + Premier II) compress net returns; realistic FoF ceiling ~2.4–3.0x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Satellite sleeve eliminates one fee layer on direct positions; fee structure explicitly disclosed to LPs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Market volatility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Early-stage VC funds dependent on market cycles, fundraising trends, and exit windows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Diversification across 17–20 managers, sectors, geographies, and 3–4 vintage years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Vintage concentration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Deploying over 36 months creates exposure to 3–4 vintage years; consecutive weak vintages reduce FoF returns materially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Active vintage monitoring; off-cycle sourcing to identify managers across multiple deployment periods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Limited liquidity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10-year fund lifecycle poses LP liquidity challenges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Satellite sleeve targets positions with 24–48 month secondary liquidity windows; Blue Moon Fund I already returning LP capital through secondary distributions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Regulatory and compliance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Evolving VC regulations may impact investment structuring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Partnering with specialized legal counsel (Cooley LLP) for compliance oversight</w:t>
            </w:r>
          </w:p>
        </w:tc>
      </w:tr>
    </w:tbl>
    <w:p>
      <w:pPr>
        <w:spacing w:after="100"/>
      </w:pPr>
      <w:r>
        <w:t xml:space="preserve"/>
      </w:r>
    </w:p>
    <w:p>
      <w:pPr>
        <w:spacing w:after="60" w:before="160"/>
      </w:pPr>
      <w:r>
        <w:rPr>
          <w:rFonts w:ascii="Arial" w:cs="Arial" w:eastAsia="Arial" w:hAnsi="Arial"/>
          <w:b/>
          <w:bCs/>
          <w:color w:val="0066CC"/>
          <w:sz w:val="20"/>
          <w:szCs w:val="20"/>
        </w:rPr>
        <w:t xml:space="preserve">3.1.2 </w:t>
      </w:r>
      <w:r>
        <w:rPr>
          <w:rFonts w:ascii="Arial" w:cs="Arial" w:eastAsia="Arial" w:hAnsi="Arial"/>
          <w:b/>
          <w:bCs/>
          <w:color w:val="1F2937"/>
          <w:sz w:val="20"/>
          <w:szCs w:val="20"/>
        </w:rPr>
        <w:t xml:space="preserve">Risk management.</w:t>
      </w:r>
    </w:p>
    <w:p>
      <w:pPr>
        <w:spacing w:after="100"/>
        <w:ind w:left="360"/>
        <w:jc w:val="both"/>
      </w:pPr>
      <w:r>
        <w:rPr>
          <w:rFonts w:ascii="Arial" w:cs="Arial" w:eastAsia="Arial" w:hAnsi="Arial"/>
          <w:color w:val="374151"/>
          <w:sz w:val="20"/>
          <w:szCs w:val="20"/>
        </w:rPr>
        <w:t xml:space="preserve">The management company monitors: operational risk (GP governance, compliance, operational resilience); market risk (macroeconomic conditions, fundraising trends, sector headwinds); portfolio performance risk (TVPI, DPI, IRR tracked quarterly via Decile Pro and direct GP engagement); regulatory risk (fund operations compliance). Risk assessments conducted quarterly with findings reviewed by the IC. Marko Hara provides input on risk assessments in an advisory capacity.</w:t>
      </w:r>
    </w:p>
    <w:p>
      <w:pPr>
        <w:spacing w:after="100"/>
      </w:pPr>
      <w:r>
        <w:t xml:space="preserve"/>
      </w:r>
    </w:p>
    <w:p>
      <w:pPr>
        <w:spacing w:after="60" w:before="160"/>
      </w:pPr>
      <w:r>
        <w:rPr>
          <w:rFonts w:ascii="Arial" w:cs="Arial" w:eastAsia="Arial" w:hAnsi="Arial"/>
          <w:b/>
          <w:bCs/>
          <w:color w:val="0066CC"/>
          <w:sz w:val="20"/>
          <w:szCs w:val="20"/>
        </w:rPr>
        <w:t xml:space="preserve">3.1.3 </w:t>
      </w:r>
      <w:r>
        <w:rPr>
          <w:rFonts w:ascii="Arial" w:cs="Arial" w:eastAsia="Arial" w:hAnsi="Arial"/>
          <w:b/>
          <w:bCs/>
          <w:color w:val="1F2937"/>
          <w:sz w:val="20"/>
          <w:szCs w:val="20"/>
        </w:rPr>
        <w:t xml:space="preserve">ESG policy.</w:t>
      </w:r>
    </w:p>
    <w:p>
      <w:pPr>
        <w:spacing w:after="100"/>
        <w:ind w:left="360"/>
        <w:jc w:val="both"/>
      </w:pPr>
      <w:r>
        <w:rPr>
          <w:rFonts w:ascii="Arial" w:cs="Arial" w:eastAsia="Arial" w:hAnsi="Arial"/>
          <w:color w:val="374151"/>
          <w:sz w:val="20"/>
          <w:szCs w:val="20"/>
        </w:rPr>
        <w:t xml:space="preserve">The management company integrates ESG principles by prioritizing investments in funds that support sustainable innovation, ethical governance, and social impact. ESG considerations are embedded in the due diligence process. Excluded sectors include tobacco, gambling, predatory lending, firearms, and fossil fuels.</w:t>
      </w:r>
    </w:p>
    <w:p>
      <w:pPr>
        <w:spacing w:after="100"/>
      </w:pPr>
      <w:r>
        <w:t xml:space="preserve"/>
      </w:r>
    </w:p>
    <w:p>
      <w:pPr>
        <w:spacing w:after="60" w:before="160"/>
      </w:pPr>
      <w:r>
        <w:rPr>
          <w:rFonts w:ascii="Arial" w:cs="Arial" w:eastAsia="Arial" w:hAnsi="Arial"/>
          <w:b/>
          <w:bCs/>
          <w:color w:val="0066CC"/>
          <w:sz w:val="20"/>
          <w:szCs w:val="20"/>
        </w:rPr>
        <w:t xml:space="preserve">3.1.4 </w:t>
      </w:r>
      <w:r>
        <w:rPr>
          <w:rFonts w:ascii="Arial" w:cs="Arial" w:eastAsia="Arial" w:hAnsi="Arial"/>
          <w:b/>
          <w:bCs/>
          <w:color w:val="1F2937"/>
          <w:sz w:val="20"/>
          <w:szCs w:val="20"/>
        </w:rPr>
        <w:t xml:space="preserve">Investments with TVPI below 1.0x.</w:t>
      </w:r>
    </w:p>
    <w:p>
      <w:pPr>
        <w:spacing w:after="100"/>
        <w:ind w:left="360"/>
        <w:jc w:val="both"/>
      </w:pPr>
      <w:r>
        <w:rPr>
          <w:rFonts w:ascii="Arial" w:cs="Arial" w:eastAsia="Arial" w:hAnsi="Arial"/>
          <w:color w:val="374151"/>
          <w:sz w:val="20"/>
          <w:szCs w:val="20"/>
        </w:rPr>
        <w:t xml:space="preserve">Premier I holds one position below 1.0x TVPI: First Check Ventures LatAm, currently carried at 0.58x ($36,097 FMV on $62,500 cost). The managing partner passed away in Q1 2025. The fund is in Limited Operations; legal advisors and stakeholders are evaluating resolution options. At 1.4% of Premier I called capital the impact on overall fund performance is limited. This situation underscores the importance of diversification across 19 managers and informs Premier II’s preference for first-time fund managers with institutional backing rather than solo GP structures with single key-person dependency.</w:t>
      </w:r>
    </w:p>
    <w:p>
      <w:pPr>
        <w:spacing w:after="100"/>
      </w:pPr>
      <w:r>
        <w:t xml:space="preserve"/>
      </w:r>
    </w:p>
    <w:p>
      <w:pPr>
        <w:spacing w:after="60" w:before="160"/>
      </w:pPr>
      <w:r>
        <w:rPr>
          <w:rFonts w:ascii="Arial" w:cs="Arial" w:eastAsia="Arial" w:hAnsi="Arial"/>
          <w:b/>
          <w:bCs/>
          <w:color w:val="0066CC"/>
          <w:sz w:val="20"/>
          <w:szCs w:val="20"/>
        </w:rPr>
        <w:t xml:space="preserve">3.1.5 </w:t>
      </w:r>
      <w:r>
        <w:rPr>
          <w:rFonts w:ascii="Arial" w:cs="Arial" w:eastAsia="Arial" w:hAnsi="Arial"/>
          <w:b/>
          <w:bCs/>
          <w:color w:val="1F2937"/>
          <w:sz w:val="20"/>
          <w:szCs w:val="20"/>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Category</w:t>
            </w:r>
          </w:p>
        </w:tc>
        <w:tc>
          <w:tcPr>
            <w:tcW w:type="dxa" w:w="7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Content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Strengths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Three-tier co-investment sourcing architecture · Off-cycle manager engagement · First-fund-to-second-fund flywheel validated through Premier I · Fee elimination on satellite sleeve · Premier I track record above 90th percentile Carta benchmark · Blue Moon AI pipeline (20,000+ companies annually)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Weaknesses</w:t>
            </w:r>
          </w:p>
        </w:tc>
        <w:tc>
          <w:tcPr>
            <w:tcW w:type="dxa" w:w="7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Small fund size limits check size and negotiating leverage · Satellite sleeve only 6 positions — concentration risk · Two fee layers on FoF sleeve compress net returns · First close at $2.6M limits diversification until second close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Opportunities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AI adoption driving unprecedented demand for sector-specialist emerging managers · Post-correction vintages historically delivering outsized returns · Growing LP demand for FoF vehicles with direct co-investment access · Blue Moon sourcing treadmill as systematic satellite deal flow engine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Threats</w:t>
            </w:r>
          </w:p>
        </w:tc>
        <w:tc>
          <w:tcPr>
            <w:tcW w:type="dxa" w:w="7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Consecutive weak vintages (2021–2022 underperforming vs 2017–2019) compress FoF returns · Competitive pressure for best emerging manager allocations · IPO window uncertainty affects satellite sleeve exit timing · 5x target case requires perfect storm of simultaneous exceptional outcomes (~7% probability per Monte Carlo)</w:t>
            </w:r>
          </w:p>
        </w:tc>
      </w:tr>
    </w:tbl>
    <w:p>
      <w:pPr>
        <w:spacing w:after="100"/>
      </w:pPr>
      <w:r>
        <w:t xml:space="preserve"/>
      </w:r>
    </w:p>
    <w:p>
      <w:pPr>
        <w:spacing w:after="60" w:before="160"/>
      </w:pPr>
      <w:r>
        <w:rPr>
          <w:rFonts w:ascii="Arial" w:cs="Arial" w:eastAsia="Arial" w:hAnsi="Arial"/>
          <w:b/>
          <w:bCs/>
          <w:color w:val="0066CC"/>
          <w:sz w:val="20"/>
          <w:szCs w:val="20"/>
        </w:rPr>
        <w:t xml:space="preserve">3.1.7 </w:t>
      </w:r>
      <w:r>
        <w:rPr>
          <w:rFonts w:ascii="Arial" w:cs="Arial" w:eastAsia="Arial" w:hAnsi="Arial"/>
          <w:b/>
          <w:bCs/>
          <w:color w:val="1F2937"/>
          <w:sz w:val="20"/>
          <w:szCs w:val="20"/>
        </w:rPr>
        <w:t xml:space="preserve">Past proceedings.</w:t>
      </w:r>
    </w:p>
    <w:p>
      <w:pPr>
        <w:spacing w:after="100"/>
        <w:ind w:left="360"/>
        <w:jc w:val="both"/>
      </w:pPr>
      <w:r>
        <w:rPr>
          <w:rFonts w:ascii="Arial" w:cs="Arial" w:eastAsia="Arial" w:hAnsi="Arial"/>
          <w:color w:val="374151"/>
          <w:sz w:val="20"/>
          <w:szCs w:val="20"/>
        </w:rPr>
        <w:t xml:space="preserve">There are no past or ongoing criminal, administrative, or regulatory investigations involving the management company, affiliated entities, or team members. The fund operates in full compliance with applicable regulations and best practices.</w:t>
      </w:r>
    </w:p>
    <w:p>
      <w:pPr>
        <w:spacing w:after="100"/>
      </w:pPr>
      <w:r>
        <w:t xml:space="preserve"/>
      </w:r>
    </w:p>
    <w:p>
      <w:r>
        <w:br w:type="page"/>
      </w:r>
    </w:p>
    <w:p>
      <w:pPr>
        <w:spacing w:after="120" w:before="280"/>
      </w:pPr>
      <w:r>
        <w:rPr>
          <w:rFonts w:ascii="Arial" w:cs="Arial" w:eastAsia="Arial" w:hAnsi="Arial"/>
          <w:b/>
          <w:bCs/>
          <w:color w:val="0A1628"/>
          <w:sz w:val="28"/>
          <w:szCs w:val="28"/>
        </w:rPr>
        <w:t xml:space="preserve">4. REFERENCES</w:t>
      </w:r>
    </w:p>
    <w:p>
      <w:pPr>
        <w:pBdr>
          <w:bottom w:val="single" w:color="0066CC" w:sz="6" w:space="1"/>
        </w:pBdr>
        <w:spacing w:after="160" w:before="60"/>
      </w:pPr>
    </w:p>
    <w:p>
      <w:pPr>
        <w:spacing w:after="120"/>
        <w:jc w:val="both"/>
      </w:pPr>
      <w:r>
        <w:rPr>
          <w:rFonts w:ascii="Arial" w:cs="Arial" w:eastAsia="Arial" w:hAnsi="Arial"/>
          <w:b w:val="false"/>
          <w:bCs w:val="false"/>
          <w:i w:val="false"/>
          <w:iCs w:val="false"/>
          <w:color w:val="1F2937"/>
          <w:sz w:val="20"/>
          <w:szCs w:val="20"/>
        </w:rPr>
        <w:t xml:space="preserve">Decile Capital offers select LPs access to reference calls or meetings with industry professionals familiar with its track record. References will be provided upon request to qualified investors. Calls will be coordinated to ensure confidentiality and compliance.</w:t>
      </w:r>
    </w:p>
    <w:p>
      <w:pPr>
        <w:spacing w:after="100"/>
      </w:pPr>
      <w:r>
        <w:t xml:space="preserve"/>
      </w:r>
    </w:p>
    <w:p>
      <w:pPr>
        <w:spacing w:after="120" w:before="280"/>
      </w:pPr>
      <w:r>
        <w:rPr>
          <w:rFonts w:ascii="Arial" w:cs="Arial" w:eastAsia="Arial" w:hAnsi="Arial"/>
          <w:b/>
          <w:bCs/>
          <w:color w:val="0A1628"/>
          <w:sz w:val="28"/>
          <w:szCs w:val="28"/>
        </w:rPr>
        <w:t xml:space="preserve">5. CONTACT INFORMATION</w:t>
      </w:r>
    </w:p>
    <w:p>
      <w:pPr>
        <w:pBdr>
          <w:bottom w:val="single" w:color="0066CC" w:sz="6" w:space="1"/>
        </w:pBd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Name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Role</w:t>
            </w:r>
          </w:p>
        </w:tc>
        <w:tc>
          <w:tcPr>
            <w:tcW w:type="dxa" w:w="38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Contact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Adeo Ressi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Managing Partner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adeo@decilegroup.com</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General Contact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Investor Relations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info@decilegroup.com</w:t>
            </w:r>
          </w:p>
        </w:tc>
      </w:tr>
    </w:tbl>
    <w:p>
      <w:pPr>
        <w:spacing w:after="100"/>
      </w:pPr>
      <w:r>
        <w:t xml:space="preserve"/>
      </w:r>
    </w:p>
    <w:p>
      <w:r>
        <w:br w:type="page"/>
      </w:r>
    </w:p>
    <w:p>
      <w:pPr>
        <w:spacing w:after="120" w:before="280"/>
      </w:pPr>
      <w:r>
        <w:rPr>
          <w:rFonts w:ascii="Arial" w:cs="Arial" w:eastAsia="Arial" w:hAnsi="Arial"/>
          <w:b/>
          <w:bCs/>
          <w:color w:val="0A1628"/>
          <w:sz w:val="28"/>
          <w:szCs w:val="28"/>
        </w:rPr>
        <w:t xml:space="preserve">DISCLAIMER</w:t>
      </w:r>
    </w:p>
    <w:p>
      <w:pPr>
        <w:pBdr>
          <w:bottom w:val="single" w:color="0066CC" w:sz="6" w:space="1"/>
        </w:pBdr>
        <w:spacing w:after="160" w:before="60"/>
      </w:pPr>
    </w:p>
    <w:p>
      <w:pPr>
        <w:spacing w:after="120"/>
        <w:jc w:val="both"/>
      </w:pPr>
      <w:r>
        <w:rPr>
          <w:rFonts w:ascii="Arial" w:cs="Arial" w:eastAsia="Arial" w:hAnsi="Arial"/>
          <w:b w:val="false"/>
          <w:bCs w:val="false"/>
          <w:i w:val="false"/>
          <w:iCs w:val="false"/>
          <w:color w:val="6B7280"/>
          <w:sz w:val="20"/>
          <w:szCs w:val="20"/>
        </w:rPr>
        <w:t xml:space="preserve">This Due Diligence Questionnaire (“DDQ”) is provided for informational purposes only to qualified investors considering an investment in Decile Capital Premier II Fund (the “Fund”). The information contained herein has been prepared by Decile Capital (the “Management Company”) and is subject to change without notice. This DDQ does not constitute an offer to sell or a solicitation of an offer to buy any securities.</w:t>
      </w:r>
    </w:p>
    <w:p>
      <w:pPr>
        <w:spacing w:after="100"/>
      </w:pPr>
      <w:r>
        <w:t xml:space="preserve"/>
      </w:r>
    </w:p>
    <w:p>
      <w:pPr>
        <w:spacing w:after="120"/>
        <w:jc w:val="both"/>
      </w:pPr>
      <w:r>
        <w:rPr>
          <w:rFonts w:ascii="Arial" w:cs="Arial" w:eastAsia="Arial" w:hAnsi="Arial"/>
          <w:b w:val="false"/>
          <w:bCs w:val="false"/>
          <w:i w:val="false"/>
          <w:iCs w:val="false"/>
          <w:color w:val="6B7280"/>
          <w:sz w:val="20"/>
          <w:szCs w:val="20"/>
        </w:rPr>
        <w:t xml:space="preserve">This DDQ is confidential and proprietary to the Management Company. Past performance is not indicative of future results. There can be no assurance that the Fund will achieve its investment objectives or avoid substantial losses. Investing in venture capital funds, including funds of funds, involves significant risks, including the potential loss of all amounts invested.</w:t>
      </w:r>
    </w:p>
    <w:p>
      <w:pPr>
        <w:spacing w:after="100"/>
      </w:pPr>
      <w:r>
        <w:t xml:space="preserve"/>
      </w:r>
    </w:p>
    <w:p>
      <w:pPr>
        <w:spacing w:after="120"/>
        <w:jc w:val="both"/>
      </w:pPr>
      <w:r>
        <w:rPr>
          <w:rFonts w:ascii="Arial" w:cs="Arial" w:eastAsia="Arial" w:hAnsi="Arial"/>
          <w:b w:val="false"/>
          <w:bCs w:val="false"/>
          <w:i w:val="false"/>
          <w:iCs w:val="false"/>
          <w:color w:val="6B7280"/>
          <w:sz w:val="20"/>
          <w:szCs w:val="20"/>
        </w:rPr>
        <w:t xml:space="preserve">Return projections and probability estimates contained herein are illustrative scenarios based on modelled assumptions and Monte Carlo simulation. They are not forecasts, promises, or guarantees of future performance. Actual results may differ materially. The Monte Carlo analysis referenced herein was conducted using 100,000 simulated portfolios anchored to Carta Q4 2025 benchmark data.</w:t>
      </w:r>
    </w:p>
    <w:p>
      <w:pPr>
        <w:spacing w:after="100"/>
      </w:pPr>
      <w:r>
        <w:t xml:space="preserve"/>
      </w:r>
    </w:p>
    <w:p>
      <w:pPr>
        <w:spacing w:after="120"/>
        <w:jc w:val="both"/>
      </w:pPr>
      <w:r>
        <w:rPr>
          <w:rFonts w:ascii="Arial" w:cs="Arial" w:eastAsia="Arial" w:hAnsi="Arial"/>
          <w:b w:val="false"/>
          <w:bCs w:val="false"/>
          <w:i w:val="false"/>
          <w:iCs w:val="false"/>
          <w:color w:val="6B7280"/>
          <w:sz w:val="20"/>
          <w:szCs w:val="20"/>
        </w:rPr>
        <w:t xml:space="preserve">The role of Marko Hara is strictly limited to that of an external consultant providing investment analysis and recommendations. Mr. Hara does not participate in investment decisions, does not have voting rights on the Investment Committee, and is not an employee, officer, or principal of the Management Company or General Partner.</w:t>
      </w:r>
    </w:p>
    <w:p>
      <w:pPr>
        <w:spacing w:after="100"/>
      </w:pPr>
      <w:r>
        <w:t xml:space="preserve"/>
      </w:r>
    </w:p>
    <w:p>
      <w:pPr>
        <w:spacing w:after="120"/>
        <w:jc w:val="both"/>
      </w:pPr>
      <w:r>
        <w:rPr>
          <w:rFonts w:ascii="Arial" w:cs="Arial" w:eastAsia="Arial" w:hAnsi="Arial"/>
          <w:b w:val="false"/>
          <w:bCs w:val="false"/>
          <w:i w:val="false"/>
          <w:iCs w:val="false"/>
          <w:color w:val="6B7280"/>
          <w:sz w:val="20"/>
          <w:szCs w:val="20"/>
        </w:rPr>
        <w:t xml:space="preserve">Potential investors should consult their own legal, tax, and financial advisors before making any investment decision.</w:t>
      </w:r>
    </w:p>
    <w:p>
      <w:pPr>
        <w:spacing w:after="100"/>
      </w:pPr>
      <w:r>
        <w:t xml:space="preserve"/>
      </w:r>
    </w:p>
    <w:p>
      <w:pPr>
        <w:spacing w:after="120"/>
        <w:jc w:val="both"/>
      </w:pPr>
      <w:r>
        <w:rPr>
          <w:rFonts w:ascii="Arial" w:cs="Arial" w:eastAsia="Arial" w:hAnsi="Arial"/>
          <w:b w:val="false"/>
          <w:bCs w:val="false"/>
          <w:i/>
          <w:iCs/>
          <w:color w:val="6B7280"/>
          <w:sz w:val="20"/>
          <w:szCs w:val="20"/>
        </w:rPr>
        <w:t xml:space="preserve">Decile Capital Premier II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2026-05-18T13:10:48.954Z</dcterms:created>
  <dcterms:modified xsi:type="dcterms:W3CDTF">2026-05-18T13:10:48.969Z</dcterms:modified>
</cp:coreProperties>
</file>

<file path=docProps/custom.xml><?xml version="1.0" encoding="utf-8"?>
<Properties xmlns="http://schemas.openxmlformats.org/officeDocument/2006/custom-properties" xmlns:vt="http://schemas.openxmlformats.org/officeDocument/2006/docPropsVTypes"/>
</file>