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A1628"/>
          <w:sz w:val="18"/>
          <w:szCs w:val="18"/>
        </w:rPr>
        <w:t xml:space="preserve">DECILE CAPITAL · PREMIER FUND II</w:t>
      </w:r>
    </w:p>
    <w:p>
      <w:pPr>
        <w:spacing w:after="80"/>
      </w:pPr>
      <w:r>
        <w:rPr>
          <w:rFonts w:ascii="Arial" w:cs="Arial" w:eastAsia="Arial" w:hAnsi="Arial"/>
          <w:b/>
          <w:bCs/>
          <w:color w:val="0A1628"/>
          <w:sz w:val="32"/>
          <w:szCs w:val="32"/>
        </w:rPr>
        <w:t xml:space="preserve">Return Modelling Methodology</w:t>
      </w:r>
    </w:p>
    <w:p>
      <w:pPr>
        <w:spacing w:after="80"/>
      </w:pPr>
      <w:r>
        <w:rPr>
          <w:rFonts w:ascii="Arial" w:cs="Arial" w:eastAsia="Arial" w:hAnsi="Arial"/>
          <w:i/>
          <w:iCs/>
          <w:color w:val="6B7280"/>
          <w:sz w:val="18"/>
          <w:szCs w:val="18"/>
        </w:rPr>
        <w:t xml:space="preserve">May 2026 · Strictly Confidential · For existing Premier Fund limited partners only</w:t>
      </w:r>
    </w:p>
    <w:p>
      <w:pPr>
        <w:spacing w:after="200"/>
      </w:pPr>
      <w:r>
        <w:t xml:space="preserve"/>
      </w:r>
    </w:p>
    <w:p>
      <w:pPr>
        <w:spacing w:after="120"/>
        <w:jc w:val="both"/>
      </w:pPr>
      <w:r>
        <w:rPr>
          <w:rFonts w:ascii="Arial" w:cs="Arial" w:eastAsia="Arial" w:hAnsi="Arial"/>
          <w:b w:val="false"/>
          <w:bCs w:val="false"/>
          <w:i w:val="false"/>
          <w:iCs w:val="false"/>
          <w:color w:val="1F2937"/>
          <w:sz w:val="20"/>
          <w:szCs w:val="20"/>
        </w:rPr>
        <w:t xml:space="preserve">This memo documents the return modelling methodology used for Premier II. The fund's 70/30 hybrid structure — a fund of funds sleeve and a direct satellite sleeve — requires two fundamentally different modelling approaches. Using a single Monte Carlo model for both would be technically incorrect and would create false precision where none exists. This document explains what each model does, why it is the right tool for each sleeve, and what the models cannot tell you.</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Model</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Applied to</w:t>
            </w:r>
          </w:p>
        </w:tc>
        <w:tc>
          <w:tcPr>
            <w:tcW w:type="dxa" w:w="4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Why this 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Monte Carlo simulation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FoF sleeve (70%)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20 funds, ~500 companies. Law of large numbers applies. Valid statistical distribution.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Binary scenario model</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Satellite sleeve (30%)</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6 positions. Power law outcomes. Four discrete scenarios more honest than a false distribution.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Two-factor 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Satellite sleeve (30%)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Captures correlation between positions. All six share the same macro environment and exit window.</w:t>
            </w:r>
          </w:p>
        </w:tc>
      </w:tr>
    </w:tbl>
    <w:p>
      <w:pPr>
        <w:spacing w:after="200"/>
      </w:pPr>
      <w:r>
        <w:t xml:space="preserve"/>
      </w:r>
    </w:p>
    <w:p>
      <w:pPr>
        <w:pBdr>
          <w:bottom w:val="single" w:color="1A3A5C" w:sz="6" w:space="1"/>
        </w:pBdr>
        <w:spacing w:after="120" w:before="360"/>
      </w:pPr>
      <w:r>
        <w:rPr>
          <w:rFonts w:ascii="Arial" w:cs="Arial" w:eastAsia="Arial" w:hAnsi="Arial"/>
          <w:b/>
          <w:bCs/>
          <w:color w:val="0A1628"/>
          <w:sz w:val="28"/>
          <w:szCs w:val="28"/>
        </w:rPr>
        <w:t xml:space="preserve">Section 1 — FoF Sleeve: Monte Carlo Simulation</w:t>
      </w:r>
    </w:p>
    <w:p>
      <w:pPr>
        <w:spacing w:after="80"/>
      </w:pPr>
      <w:r>
        <w:t xml:space="preserve"/>
      </w:r>
    </w:p>
    <w:p>
      <w:pPr>
        <w:spacing w:after="100" w:before="240"/>
      </w:pPr>
      <w:r>
        <w:rPr>
          <w:rFonts w:ascii="Arial" w:cs="Arial" w:eastAsia="Arial" w:hAnsi="Arial"/>
          <w:b/>
          <w:bCs/>
          <w:color w:val="1A3A5C"/>
          <w:sz w:val="22"/>
          <w:szCs w:val="22"/>
        </w:rPr>
        <w:t xml:space="preserve">Why Monte Carlo is valid here</w:t>
      </w:r>
    </w:p>
    <w:p>
      <w:pPr>
        <w:spacing w:after="120"/>
        <w:jc w:val="both"/>
      </w:pPr>
      <w:r>
        <w:rPr>
          <w:rFonts w:ascii="Arial" w:cs="Arial" w:eastAsia="Arial" w:hAnsi="Arial"/>
          <w:b w:val="false"/>
          <w:bCs w:val="false"/>
          <w:i w:val="false"/>
          <w:iCs w:val="false"/>
          <w:color w:val="1F2937"/>
          <w:sz w:val="20"/>
          <w:szCs w:val="20"/>
        </w:rPr>
        <w:t xml:space="preserve">The FoF sleeve invests in 17–20 emerging manager funds, each holding 15–100 portfolio companies. Premier II's indirect exposure is approximately 300–500 underlying companies. At this scale the law of large numbers applies — individual company outcomes average out and the fund-level distribution converges to a stable shape. Monte Carlo simulation is the correct tool.</w:t>
      </w:r>
    </w:p>
    <w:p>
      <w:pPr>
        <w:spacing w:after="100"/>
      </w:pPr>
      <w:r>
        <w:t xml:space="preserve"/>
      </w:r>
    </w:p>
    <w:p>
      <w:pPr>
        <w:spacing w:after="100" w:before="240"/>
      </w:pPr>
      <w:r>
        <w:rPr>
          <w:rFonts w:ascii="Arial" w:cs="Arial" w:eastAsia="Arial" w:hAnsi="Arial"/>
          <w:b/>
          <w:bCs/>
          <w:color w:val="1A3A5C"/>
          <w:sz w:val="22"/>
          <w:szCs w:val="22"/>
        </w:rPr>
        <w:t xml:space="preserve">Vintage anchors</w:t>
      </w:r>
    </w:p>
    <w:p>
      <w:pPr>
        <w:spacing w:after="120"/>
        <w:jc w:val="both"/>
      </w:pPr>
      <w:r>
        <w:rPr>
          <w:rFonts w:ascii="Arial" w:cs="Arial" w:eastAsia="Arial" w:hAnsi="Arial"/>
          <w:b w:val="false"/>
          <w:bCs w:val="false"/>
          <w:i w:val="false"/>
          <w:iCs w:val="false"/>
          <w:color w:val="1F2937"/>
          <w:sz w:val="20"/>
          <w:szCs w:val="20"/>
        </w:rPr>
        <w:t xml:space="preserve">All FoF return assumptions are anchored to Carta Q4 2025 benchmark data for the $1M–$10M fund size bucket. Returns are net of underlying fund fees (2%/20%) and then Premier II fees (1%/10%) are applied on top. Three vintage scenarios are modelled: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000"/>
        <w:gridCol w:w="1000"/>
        <w:gridCol w:w="1000"/>
        <w:gridCol w:w="1160"/>
      </w:tblGrid>
      <w:tr>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Scenario</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Vintage</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90th pct</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75th pct</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50th pct</w:t>
            </w:r>
          </w:p>
        </w:tc>
        <w:tc>
          <w:tcPr>
            <w:tcW w:type="dxa" w:w="1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25th pct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Optimistic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2017 Carta (best ever recorded)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5.54x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3.18x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2.06x</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1.41x</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Realistic</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2020 Carta (mature, non-exceptional)</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3.08x</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2.04x</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1.14x</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0.92x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Conservative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2021 Carta (recent, still maturing)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1.95x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1.35x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1.03x</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0.84x</w:t>
            </w:r>
          </w:p>
        </w:tc>
      </w:tr>
    </w:tbl>
    <w:p>
      <w:pPr>
        <w:spacing w:after="100"/>
      </w:pPr>
      <w:r>
        <w:t xml:space="preserve"/>
      </w:r>
    </w:p>
    <w:p>
      <w:pPr>
        <w:spacing w:after="100" w:before="240"/>
      </w:pPr>
      <w:r>
        <w:rPr>
          <w:rFonts w:ascii="Arial" w:cs="Arial" w:eastAsia="Arial" w:hAnsi="Arial"/>
          <w:b/>
          <w:bCs/>
          <w:color w:val="1A3A5C"/>
          <w:sz w:val="22"/>
          <w:szCs w:val="22"/>
        </w:rPr>
        <w:t xml:space="preserve">Manager mix</w:t>
      </w:r>
    </w:p>
    <w:p>
      <w:pPr>
        <w:spacing w:after="120"/>
        <w:jc w:val="both"/>
      </w:pPr>
      <w:r>
        <w:rPr>
          <w:rFonts w:ascii="Arial" w:cs="Arial" w:eastAsia="Arial" w:hAnsi="Arial"/>
          <w:b w:val="false"/>
          <w:bCs w:val="false"/>
          <w:i w:val="false"/>
          <w:iCs w:val="false"/>
          <w:color w:val="1F2937"/>
          <w:sz w:val="20"/>
          <w:szCs w:val="20"/>
        </w:rPr>
        <w:t xml:space="preserve">Each simulation draws individual fund returns from the appropriate vintage distribution based on the assumed manager mix. The realistic base case uses the Premier I observed mix: 3 top decile, 5 top quartile, 10 average, 2 below average. The optimistic scenario uses 7/7/6/0. P(achieving the 7/7/6 mix) is approximately 0.05–0.5% — this is the single most important caveat in the FoF model.</w:t>
      </w:r>
    </w:p>
    <w:p>
      <w:pPr>
        <w:spacing w:after="100"/>
      </w:pPr>
      <w:r>
        <w:t xml:space="preserve"/>
      </w:r>
    </w:p>
    <w:p>
      <w:pPr>
        <w:spacing w:after="100" w:before="240"/>
      </w:pPr>
      <w:r>
        <w:rPr>
          <w:rFonts w:ascii="Arial" w:cs="Arial" w:eastAsia="Arial" w:hAnsi="Arial"/>
          <w:b/>
          <w:bCs/>
          <w:color w:val="1A3A5C"/>
          <w:sz w:val="22"/>
          <w:szCs w:val="22"/>
        </w:rPr>
        <w:t xml:space="preserve">Output</w:t>
      </w:r>
    </w:p>
    <w:p>
      <w:pPr>
        <w:spacing w:after="120"/>
        <w:jc w:val="both"/>
      </w:pPr>
      <w:r>
        <w:rPr>
          <w:rFonts w:ascii="Arial" w:cs="Arial" w:eastAsia="Arial" w:hAnsi="Arial"/>
          <w:b w:val="false"/>
          <w:bCs w:val="false"/>
          <w:i w:val="false"/>
          <w:iCs w:val="false"/>
          <w:color w:val="1F2937"/>
          <w:sz w:val="20"/>
          <w:szCs w:val="20"/>
        </w:rPr>
        <w:t xml:space="preserve">20,000 simulations produce a full distribution of FoF net TVPI outcomes. Median, mean, and probability at each threshold are calculated from the distribution. The mean is always above the median due to the right tail — this is expected and correct.</w:t>
      </w:r>
    </w:p>
    <w:p>
      <w:pPr>
        <w:spacing w:after="200"/>
      </w:pPr>
      <w:r>
        <w:t xml:space="preserve"/>
      </w:r>
    </w:p>
    <w:p>
      <w:pPr>
        <w:pBdr>
          <w:bottom w:val="single" w:color="1A3A5C" w:sz="6" w:space="1"/>
        </w:pBdr>
        <w:spacing w:after="120" w:before="360"/>
      </w:pPr>
      <w:r>
        <w:rPr>
          <w:rFonts w:ascii="Arial" w:cs="Arial" w:eastAsia="Arial" w:hAnsi="Arial"/>
          <w:b/>
          <w:bCs/>
          <w:color w:val="0A1628"/>
          <w:sz w:val="28"/>
          <w:szCs w:val="28"/>
        </w:rPr>
        <w:t xml:space="preserve">Section 2 — Satellite Sleeve: Binary Scenario Model</w:t>
      </w:r>
    </w:p>
    <w:p>
      <w:pPr>
        <w:spacing w:after="80"/>
      </w:pPr>
      <w:r>
        <w:t xml:space="preserve"/>
      </w:r>
    </w:p>
    <w:p>
      <w:pPr>
        <w:spacing w:after="100" w:before="240"/>
      </w:pPr>
      <w:r>
        <w:rPr>
          <w:rFonts w:ascii="Arial" w:cs="Arial" w:eastAsia="Arial" w:hAnsi="Arial"/>
          <w:b/>
          <w:bCs/>
          <w:color w:val="1A3A5C"/>
          <w:sz w:val="22"/>
          <w:szCs w:val="22"/>
        </w:rPr>
        <w:t xml:space="preserve">Why Monte Carlo is wrong for six positions</w:t>
      </w:r>
    </w:p>
    <w:p>
      <w:pPr>
        <w:spacing w:after="120"/>
        <w:jc w:val="both"/>
      </w:pPr>
      <w:r>
        <w:rPr>
          <w:rFonts w:ascii="Arial" w:cs="Arial" w:eastAsia="Arial" w:hAnsi="Arial"/>
          <w:b w:val="false"/>
          <w:bCs w:val="false"/>
          <w:i w:val="false"/>
          <w:iCs w:val="false"/>
          <w:color w:val="1F2937"/>
          <w:sz w:val="20"/>
          <w:szCs w:val="20"/>
        </w:rPr>
        <w:t xml:space="preserve">Six direct positions is not a diversified portfolio in any statistical sense. A Monte Carlo simulation of six positions produces numbers that look precise but have enormous confidence intervals. The difference between six positions producing 0.8x average and 4x average is a single position that either fires or does not. Presenting this as a smooth distribution is mathematically misleading.</w:t>
      </w:r>
    </w:p>
    <w:p>
      <w:pPr>
        <w:spacing w:after="100"/>
      </w:pPr>
      <w:r>
        <w:t xml:space="preserve"/>
      </w:r>
    </w:p>
    <w:p>
      <w:pPr>
        <w:spacing w:after="120"/>
        <w:jc w:val="both"/>
      </w:pPr>
      <w:r>
        <w:rPr>
          <w:rFonts w:ascii="Arial" w:cs="Arial" w:eastAsia="Arial" w:hAnsi="Arial"/>
          <w:b w:val="false"/>
          <w:bCs w:val="false"/>
          <w:i w:val="false"/>
          <w:iCs w:val="false"/>
          <w:color w:val="1F2937"/>
          <w:sz w:val="20"/>
          <w:szCs w:val="20"/>
        </w:rPr>
        <w:t xml:space="preserve">The honest model for six positions is a scenario model: four discrete outcomes, each with an explicit probability, each with an explicit blended TVPI. No distribution. No false precision.</w:t>
      </w:r>
    </w:p>
    <w:p>
      <w:pPr>
        <w:spacing w:after="100"/>
      </w:pPr>
      <w:r>
        <w:t xml:space="preserve"/>
      </w:r>
    </w:p>
    <w:p>
      <w:pPr>
        <w:spacing w:after="100" w:before="240"/>
      </w:pPr>
      <w:r>
        <w:rPr>
          <w:rFonts w:ascii="Arial" w:cs="Arial" w:eastAsia="Arial" w:hAnsi="Arial"/>
          <w:b/>
          <w:bCs/>
          <w:color w:val="1A3A5C"/>
          <w:sz w:val="22"/>
          <w:szCs w:val="22"/>
        </w:rPr>
        <w:t xml:space="preserve">Base rates</w:t>
      </w:r>
    </w:p>
    <w:p>
      <w:pPr>
        <w:spacing w:after="120"/>
        <w:jc w:val="both"/>
      </w:pPr>
      <w:r>
        <w:rPr>
          <w:rFonts w:ascii="Arial" w:cs="Arial" w:eastAsia="Arial" w:hAnsi="Arial"/>
          <w:b w:val="false"/>
          <w:bCs w:val="false"/>
          <w:i w:val="false"/>
          <w:iCs w:val="false"/>
          <w:color w:val="1F2937"/>
          <w:sz w:val="20"/>
          <w:szCs w:val="20"/>
        </w:rPr>
        <w:t xml:space="preserve">Position-level probabilities are calibrated to Series A/B entry — not seed stage — because Premier II's satellite positions enter through GP relationships at post-seed companies with demonstrated product-market fit. The survival filter is applied: the 55–60% loss rate appropriate for seed stage drops to 30–38% at Series A/B.</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20"/>
        <w:gridCol w:w="1620"/>
        <w:gridCol w:w="1620"/>
      </w:tblGrid>
      <w:t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Outcome</w:t>
            </w:r>
          </w:p>
        </w:tc>
        <w:tc>
          <w:tcPr>
            <w:tcW w:type="dxa" w:w="16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No edge</w:t>
            </w:r>
          </w:p>
        </w:tc>
        <w:tc>
          <w:tcPr>
            <w:tcW w:type="dxa" w:w="16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Modest edge</w:t>
            </w:r>
          </w:p>
        </w:tc>
        <w:tc>
          <w:tcPr>
            <w:tcW w:type="dxa" w:w="16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Strong edge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Loss / near zero (&lt;1x)</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38%</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30%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22%</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Return of cost (1–2x)</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22%</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20%</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Modest return (2–5x)</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Strong return (5–15x)</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13%</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18%</w:t>
            </w:r>
          </w:p>
        </w:tc>
        <w:tc>
          <w:tcPr>
            <w:tcW w:type="dxa" w:w="16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Extraordinary (15x+)</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7%</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12%</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18%</w:t>
            </w:r>
          </w:p>
        </w:tc>
      </w:tr>
    </w:tbl>
    <w:p>
      <w:pPr>
        <w:spacing w:after="100"/>
      </w:pPr>
      <w:r>
        <w:t xml:space="preserve"/>
      </w:r>
    </w:p>
    <w:p>
      <w:pPr>
        <w:spacing w:after="100" w:before="240"/>
      </w:pPr>
      <w:r>
        <w:rPr>
          <w:rFonts w:ascii="Arial" w:cs="Arial" w:eastAsia="Arial" w:hAnsi="Arial"/>
          <w:b/>
          <w:bCs/>
          <w:color w:val="1A3A5C"/>
          <w:sz w:val="22"/>
          <w:szCs w:val="22"/>
        </w:rPr>
        <w:t xml:space="preserve">Four discrete scenarios</w:t>
      </w:r>
    </w:p>
    <w:p>
      <w:pPr>
        <w:spacing w:after="120"/>
        <w:jc w:val="both"/>
      </w:pPr>
      <w:r>
        <w:rPr>
          <w:rFonts w:ascii="Arial" w:cs="Arial" w:eastAsia="Arial" w:hAnsi="Arial"/>
          <w:b w:val="false"/>
          <w:bCs w:val="false"/>
          <w:i w:val="false"/>
          <w:iCs w:val="false"/>
          <w:color w:val="1F2937"/>
          <w:sz w:val="20"/>
          <w:szCs w:val="20"/>
        </w:rPr>
        <w:t xml:space="preserve">The four scenarios are calculated analytically from the per-position probabilities applied across six positions:</w:t>
      </w:r>
    </w:p>
    <w:p>
      <w:pPr>
        <w:spacing w:after="100"/>
      </w:pPr>
      <w:r>
        <w:t xml:space="preserve"/>
      </w:r>
    </w:p>
    <w:p>
      <w:pPr>
        <w:pStyle w:val="ListParagraph"/>
        <w:numPr>
          <w:ilvl w:val="0"/>
          <w:numId w:val="2"/>
        </w:numPr>
        <w:spacing w:after="80"/>
      </w:pPr>
      <w:r>
        <w:rPr>
          <w:rFonts w:ascii="Arial" w:cs="Arial" w:eastAsia="Arial" w:hAnsi="Arial"/>
          <w:color w:val="374151"/>
          <w:sz w:val="20"/>
          <w:szCs w:val="20"/>
        </w:rPr>
        <w:t xml:space="preserve">No meaningful hit — all six positions below 5x net. Satellite drags blended below FoF alone. P: approximately 30–45% depending on edge assumption.</w:t>
      </w:r>
    </w:p>
    <w:p>
      <w:pPr>
        <w:pStyle w:val="ListParagraph"/>
        <w:numPr>
          <w:ilvl w:val="0"/>
          <w:numId w:val="2"/>
        </w:numPr>
        <w:spacing w:after="80"/>
      </w:pPr>
      <w:r>
        <w:rPr>
          <w:rFonts w:ascii="Arial" w:cs="Arial" w:eastAsia="Arial" w:hAnsi="Arial"/>
          <w:color w:val="374151"/>
          <w:sz w:val="20"/>
          <w:szCs w:val="20"/>
        </w:rPr>
        <w:t xml:space="preserve">One strong hit — one position returns 5–15x gross. Five positions modest or flat. P: approximately 20–30%.</w:t>
      </w:r>
    </w:p>
    <w:p>
      <w:pPr>
        <w:pStyle w:val="ListParagraph"/>
        <w:numPr>
          <w:ilvl w:val="0"/>
          <w:numId w:val="2"/>
        </w:numPr>
        <w:spacing w:after="80"/>
      </w:pPr>
      <w:r>
        <w:rPr>
          <w:rFonts w:ascii="Arial" w:cs="Arial" w:eastAsia="Arial" w:hAnsi="Arial"/>
          <w:color w:val="374151"/>
          <w:sz w:val="20"/>
          <w:szCs w:val="20"/>
        </w:rPr>
        <w:t xml:space="preserve">One extraordinary hit — one position returns 15x+ gross. Five positions modest or flat. P: approximately 10–15%.</w:t>
      </w:r>
    </w:p>
    <w:p>
      <w:pPr>
        <w:pStyle w:val="ListParagraph"/>
        <w:numPr>
          <w:ilvl w:val="0"/>
          <w:numId w:val="2"/>
        </w:numPr>
        <w:spacing w:after="80"/>
      </w:pPr>
      <w:r>
        <w:rPr>
          <w:rFonts w:ascii="Arial" w:cs="Arial" w:eastAsia="Arial" w:hAnsi="Arial"/>
          <w:color w:val="374151"/>
          <w:sz w:val="20"/>
          <w:szCs w:val="20"/>
        </w:rPr>
        <w:t xml:space="preserve">Multiple hits — two or more positions above 5x. P: approximately 5–10%.</w:t>
      </w:r>
    </w:p>
    <w:p>
      <w:pPr>
        <w:spacing w:after="100"/>
      </w:pPr>
      <w:r>
        <w:t xml:space="preserve"/>
      </w:r>
    </w:p>
    <w:p>
      <w:pPr>
        <w:spacing w:after="100" w:before="240"/>
      </w:pPr>
      <w:r>
        <w:rPr>
          <w:rFonts w:ascii="Arial" w:cs="Arial" w:eastAsia="Arial" w:hAnsi="Arial"/>
          <w:b/>
          <w:bCs/>
          <w:color w:val="1A3A5C"/>
          <w:sz w:val="22"/>
          <w:szCs w:val="22"/>
        </w:rPr>
        <w:t xml:space="preserve">Key finding</w:t>
      </w:r>
    </w:p>
    <w:p>
      <w:pPr>
        <w:spacing w:after="120"/>
        <w:jc w:val="both"/>
      </w:pPr>
      <w:r>
        <w:rPr>
          <w:rFonts w:ascii="Arial" w:cs="Arial" w:eastAsia="Arial" w:hAnsi="Arial"/>
          <w:b w:val="false"/>
          <w:bCs w:val="false"/>
          <w:i w:val="false"/>
          <w:iCs w:val="false"/>
          <w:color w:val="1F2937"/>
          <w:sz w:val="20"/>
          <w:szCs w:val="20"/>
        </w:rPr>
        <w:t xml:space="preserve">In approximately 35–45% of outcomes the satellite sleeve reduces blended returns below what the FoF sleeve would have delivered alone. It adds value in 55–65% of outcomes. It transforms the fund in 15–20% of outcomes. This is the honest truth about six concentrated positions and it is what the model shows.</w:t>
      </w:r>
    </w:p>
    <w:p>
      <w:pPr>
        <w:spacing w:after="200"/>
      </w:pPr>
      <w:r>
        <w:t xml:space="preserve"/>
      </w:r>
    </w:p>
    <w:p>
      <w:pPr>
        <w:pBdr>
          <w:bottom w:val="single" w:color="1A3A5C" w:sz="6" w:space="1"/>
        </w:pBdr>
        <w:spacing w:after="120" w:before="360"/>
      </w:pPr>
      <w:r>
        <w:rPr>
          <w:rFonts w:ascii="Arial" w:cs="Arial" w:eastAsia="Arial" w:hAnsi="Arial"/>
          <w:b/>
          <w:bCs/>
          <w:color w:val="0A1628"/>
          <w:sz w:val="28"/>
          <w:szCs w:val="28"/>
        </w:rPr>
        <w:t xml:space="preserve">Section 3 — Satellite Sleeve: Two-Factor Model</w:t>
      </w:r>
    </w:p>
    <w:p>
      <w:pPr>
        <w:spacing w:after="80"/>
      </w:pPr>
      <w:r>
        <w:t xml:space="preserve"/>
      </w:r>
    </w:p>
    <w:p>
      <w:pPr>
        <w:spacing w:after="100" w:before="240"/>
      </w:pPr>
      <w:r>
        <w:rPr>
          <w:rFonts w:ascii="Arial" w:cs="Arial" w:eastAsia="Arial" w:hAnsi="Arial"/>
          <w:b/>
          <w:bCs/>
          <w:color w:val="1A3A5C"/>
          <w:sz w:val="22"/>
          <w:szCs w:val="22"/>
        </w:rPr>
        <w:t xml:space="preserve">Why binary scenarios assume too much independence</w:t>
      </w:r>
    </w:p>
    <w:p>
      <w:pPr>
        <w:spacing w:after="120"/>
        <w:jc w:val="both"/>
      </w:pPr>
      <w:r>
        <w:rPr>
          <w:rFonts w:ascii="Arial" w:cs="Arial" w:eastAsia="Arial" w:hAnsi="Arial"/>
          <w:b w:val="false"/>
          <w:bCs w:val="false"/>
          <w:i w:val="false"/>
          <w:iCs w:val="false"/>
          <w:color w:val="1F2937"/>
          <w:sz w:val="20"/>
          <w:szCs w:val="20"/>
        </w:rPr>
        <w:t xml:space="preserve">The binary model calculates probabilities as if each of the six positions is an independent draw. In reality all six positions are correlated: they come from the same GP network, they are invested in the same macro environment, and they exit in the same 2030–2035 window. A closed IPO and M&amp;A market in 2032 hurts all six simultaneously. A strong AI exit wave in 2031 helps all six simultaneously.</w:t>
      </w:r>
    </w:p>
    <w:p>
      <w:pPr>
        <w:spacing w:after="100"/>
      </w:pPr>
      <w:r>
        <w:t xml:space="preserve"/>
      </w:r>
    </w:p>
    <w:p>
      <w:pPr>
        <w:spacing w:after="100" w:before="240"/>
      </w:pPr>
      <w:r>
        <w:rPr>
          <w:rFonts w:ascii="Arial" w:cs="Arial" w:eastAsia="Arial" w:hAnsi="Arial"/>
          <w:b/>
          <w:bCs/>
          <w:color w:val="1A3A5C"/>
          <w:sz w:val="22"/>
          <w:szCs w:val="22"/>
        </w:rPr>
        <w:t xml:space="preserve">The two-factor structure</w:t>
      </w:r>
    </w:p>
    <w:p>
      <w:pPr>
        <w:spacing w:after="120"/>
        <w:jc w:val="both"/>
      </w:pPr>
      <w:r>
        <w:rPr>
          <w:rFonts w:ascii="Arial" w:cs="Arial" w:eastAsia="Arial" w:hAnsi="Arial"/>
          <w:b w:val="false"/>
          <w:bCs w:val="false"/>
          <w:i w:val="false"/>
          <w:iCs w:val="false"/>
          <w:color w:val="1F2937"/>
          <w:sz w:val="20"/>
          <w:szCs w:val="20"/>
        </w:rPr>
        <w:t xml:space="preserve">The two-factor model draws two separate inputs per simulation:</w:t>
      </w:r>
    </w:p>
    <w:p>
      <w:pPr>
        <w:spacing w:after="100"/>
      </w:pPr>
      <w:r>
        <w:t xml:space="preserve"/>
      </w:r>
    </w:p>
    <w:p>
      <w:pPr>
        <w:pStyle w:val="ListParagraph"/>
        <w:numPr>
          <w:ilvl w:val="0"/>
          <w:numId w:val="2"/>
        </w:numPr>
        <w:spacing w:after="80"/>
      </w:pPr>
      <w:r>
        <w:rPr>
          <w:rFonts w:ascii="Arial" w:cs="Arial" w:eastAsia="Arial" w:hAnsi="Arial"/>
          <w:color w:val="374151"/>
          <w:sz w:val="20"/>
          <w:szCs w:val="20"/>
        </w:rPr>
        <w:t xml:space="preserve">Market factor — drawn ONCE per simulation and applied to all six positions. Represents the macro exit environment in the fund's exit window. Modelled as a mixture distribution with five regimes: crash (5% probability, 0.05–0.3x), bad (15%, 0.3–0.7x), normal (65%, 0.7–1.5x), good (12%, 1.5–2.5x), and euphoric (3%, 2.5–4.0x, hard-capped to prevent exploding means).</w:t>
      </w:r>
    </w:p>
    <w:p>
      <w:pPr>
        <w:pStyle w:val="ListParagraph"/>
        <w:numPr>
          <w:ilvl w:val="0"/>
          <w:numId w:val="2"/>
        </w:numPr>
        <w:spacing w:after="80"/>
      </w:pPr>
      <w:r>
        <w:rPr>
          <w:rFonts w:ascii="Arial" w:cs="Arial" w:eastAsia="Arial" w:hAnsi="Arial"/>
          <w:color w:val="374151"/>
          <w:sz w:val="20"/>
          <w:szCs w:val="20"/>
        </w:rPr>
        <w:t xml:space="preserve">Company factor — drawn independently per position. Represents the idiosyncratic quality of each company regardless of macro conditions.</w:t>
      </w:r>
    </w:p>
    <w:p>
      <w:pPr>
        <w:spacing w:after="100"/>
      </w:pPr>
      <w:r>
        <w:t xml:space="preserve"/>
      </w:r>
    </w:p>
    <w:p>
      <w:pPr>
        <w:spacing w:after="120"/>
        <w:jc w:val="both"/>
      </w:pPr>
      <w:r>
        <w:rPr>
          <w:rFonts w:ascii="Arial" w:cs="Arial" w:eastAsia="Arial" w:hAnsi="Arial"/>
          <w:b w:val="false"/>
          <w:bCs w:val="false"/>
          <w:i w:val="false"/>
          <w:iCs w:val="false"/>
          <w:color w:val="1F2937"/>
          <w:sz w:val="20"/>
          <w:szCs w:val="20"/>
        </w:rPr>
        <w:t xml:space="preserve">Each position's return equals the company factor multiplied by the market factor, then net of Premier II carry. The market factor is shared across all positions — this is what creates correlation.</w:t>
      </w:r>
    </w:p>
    <w:p>
      <w:pPr>
        <w:spacing w:after="100"/>
      </w:pPr>
      <w:r>
        <w:t xml:space="preserve"/>
      </w:r>
    </w:p>
    <w:p>
      <w:pPr>
        <w:spacing w:after="100" w:before="240"/>
      </w:pPr>
      <w:r>
        <w:rPr>
          <w:rFonts w:ascii="Arial" w:cs="Arial" w:eastAsia="Arial" w:hAnsi="Arial"/>
          <w:b/>
          <w:bCs/>
          <w:color w:val="1A3A5C"/>
          <w:sz w:val="22"/>
          <w:szCs w:val="22"/>
        </w:rPr>
        <w:t xml:space="preserve">Effective independent bets</w:t>
      </w:r>
    </w:p>
    <w:p>
      <w:pPr>
        <w:spacing w:after="120"/>
        <w:jc w:val="both"/>
      </w:pPr>
      <w:r>
        <w:rPr>
          <w:rFonts w:ascii="Arial" w:cs="Arial" w:eastAsia="Arial" w:hAnsi="Arial"/>
          <w:b w:val="false"/>
          <w:bCs w:val="false"/>
          <w:i w:val="false"/>
          <w:iCs w:val="false"/>
          <w:color w:val="1F2937"/>
          <w:sz w:val="20"/>
          <w:szCs w:val="20"/>
        </w:rPr>
        <w:t xml:space="preserve">The correlation between positions reduces the effective diversification benefit. The formula for effective independent bets given n positions and correlation ρ is: n / (1 + (n−1) × ρ). At medium market correlation (ρ ≈ 0.35), six positions behave like approximately 2.2 effective independent bets. This is the most important insight from the two-factor model: adding more satellite positions beyond 3–4 provides diminishing diversification benefit because the market factor dominates.</w:t>
      </w:r>
    </w:p>
    <w:p>
      <w:pPr>
        <w:spacing w:after="100"/>
      </w:pPr>
      <w:r>
        <w:t xml:space="preserve"/>
      </w:r>
    </w:p>
    <w:p>
      <w:pPr>
        <w:spacing w:after="100" w:before="240"/>
      </w:pPr>
      <w:r>
        <w:rPr>
          <w:rFonts w:ascii="Arial" w:cs="Arial" w:eastAsia="Arial" w:hAnsi="Arial"/>
          <w:b/>
          <w:bCs/>
          <w:color w:val="1A3A5C"/>
          <w:sz w:val="22"/>
          <w:szCs w:val="22"/>
        </w:rPr>
        <w:t xml:space="preserve">What the two-factor model shows</w:t>
      </w:r>
    </w:p>
    <w:p>
      <w:pPr>
        <w:spacing w:after="120"/>
        <w:jc w:val="both"/>
      </w:pPr>
      <w:r>
        <w:rPr>
          <w:rFonts w:ascii="Arial" w:cs="Arial" w:eastAsia="Arial" w:hAnsi="Arial"/>
          <w:b w:val="false"/>
          <w:bCs w:val="false"/>
          <w:i w:val="false"/>
          <w:iCs w:val="false"/>
          <w:color w:val="1F2937"/>
          <w:sz w:val="20"/>
          <w:szCs w:val="20"/>
        </w:rPr>
        <w:t xml:space="preserve">Compared to the independent binary model, the two-factor model shows: a fatter left tail (bad macro hits all positions simultaneously, making the no-hit scenario worse than binary suggests) and a slightly fatter right tail (good macro lifts all positions, making the extraordinary scenario better than binary suggests). The middle of the distribution — modest outcomes — is thinner. The median is typically 0.1–0.2x lower than the binary model due to correlation cost.</w:t>
      </w:r>
    </w:p>
    <w:p>
      <w:pPr>
        <w:spacing w:after="200"/>
      </w:pPr>
      <w:r>
        <w:t xml:space="preserve"/>
      </w:r>
    </w:p>
    <w:p>
      <w:pPr>
        <w:pBdr>
          <w:bottom w:val="single" w:color="1A3A5C" w:sz="6" w:space="1"/>
        </w:pBdr>
        <w:spacing w:after="120" w:before="360"/>
      </w:pPr>
      <w:r>
        <w:rPr>
          <w:rFonts w:ascii="Arial" w:cs="Arial" w:eastAsia="Arial" w:hAnsi="Arial"/>
          <w:b/>
          <w:bCs/>
          <w:color w:val="0A1628"/>
          <w:sz w:val="28"/>
          <w:szCs w:val="28"/>
        </w:rPr>
        <w:t xml:space="preserve">Section 4 — Combined Blended Model</w:t>
      </w:r>
    </w:p>
    <w:p>
      <w:pPr>
        <w:spacing w:after="80"/>
      </w:pPr>
      <w:r>
        <w:t xml:space="preserve"/>
      </w:r>
    </w:p>
    <w:p>
      <w:pPr>
        <w:spacing w:after="120"/>
        <w:jc w:val="both"/>
      </w:pPr>
      <w:r>
        <w:rPr>
          <w:rFonts w:ascii="Arial" w:cs="Arial" w:eastAsia="Arial" w:hAnsi="Arial"/>
          <w:b w:val="false"/>
          <w:bCs w:val="false"/>
          <w:i w:val="false"/>
          <w:iCs w:val="false"/>
          <w:color w:val="1F2937"/>
          <w:sz w:val="20"/>
          <w:szCs w:val="20"/>
        </w:rPr>
        <w:t xml:space="preserve">The blended TVPI is calculated as 70% FoF net TVPI plus 30% satellite net TVPI in each simulation. The FoF and satellite draws are independent — the FoF sleeve is not correlated with the satellite sleeve because the two sleeves invest through different structures with different exit timelines.</w:t>
      </w:r>
    </w:p>
    <w:p>
      <w:pPr>
        <w:spacing w:after="100"/>
      </w:pPr>
      <w:r>
        <w:t xml:space="preserve"/>
      </w:r>
    </w:p>
    <w:p>
      <w:pPr>
        <w:spacing w:after="100" w:before="240"/>
      </w:pPr>
      <w:r>
        <w:rPr>
          <w:rFonts w:ascii="Arial" w:cs="Arial" w:eastAsia="Arial" w:hAnsi="Arial"/>
          <w:b/>
          <w:bCs/>
          <w:color w:val="1A3A5C"/>
          <w:sz w:val="22"/>
          <w:szCs w:val="22"/>
        </w:rPr>
        <w:t xml:space="preserve">Three scenarios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2500"/>
        <w:gridCol w:w="3160"/>
      </w:tblGrid>
      <w:tr>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Scenario</w:t>
            </w:r>
          </w:p>
        </w:tc>
        <w:tc>
          <w:tcPr>
            <w:tcW w:type="dxa" w:w="2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FoF assumption</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Satellite assumption</w:t>
            </w:r>
          </w:p>
        </w:tc>
        <w:tc>
          <w:tcPr>
            <w:tcW w:type="dxa" w:w="3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What it shows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Realistic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3/5/10/2 mix · 2020 Carta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Modest edge · normal macro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What most LPs should expect</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Optimistic</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7/7/6 mix · 2017 Carta</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Modest edge · good macro</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What a strong outcome looks like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Lightning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7/7/6 mix · 2017 Carta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Strong edge · one extraordinary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The fund-maker scenario</w:t>
            </w:r>
          </w:p>
        </w:tc>
      </w:tr>
    </w:tbl>
    <w:p>
      <w:pPr>
        <w:spacing w:after="200"/>
      </w:pPr>
      <w:r>
        <w:t xml:space="preserve"/>
      </w:r>
    </w:p>
    <w:p>
      <w:pPr>
        <w:pBdr>
          <w:bottom w:val="single" w:color="1A3A5C" w:sz="6" w:space="1"/>
        </w:pBdr>
        <w:spacing w:after="120" w:before="360"/>
      </w:pPr>
      <w:r>
        <w:rPr>
          <w:rFonts w:ascii="Arial" w:cs="Arial" w:eastAsia="Arial" w:hAnsi="Arial"/>
          <w:b/>
          <w:bCs/>
          <w:color w:val="0A1628"/>
          <w:sz w:val="28"/>
          <w:szCs w:val="28"/>
        </w:rPr>
        <w:t xml:space="preserve">Section 5 — Honest Limitations</w:t>
      </w:r>
    </w:p>
    <w:p>
      <w:pPr>
        <w:spacing w:after="80"/>
      </w:pPr>
      <w:r>
        <w:t xml:space="preserve"/>
      </w:r>
    </w:p>
    <w:p>
      <w:pPr>
        <w:spacing w:after="120"/>
        <w:jc w:val="both"/>
      </w:pPr>
      <w:r>
        <w:rPr>
          <w:rFonts w:ascii="Arial" w:cs="Arial" w:eastAsia="Arial" w:hAnsi="Arial"/>
          <w:b w:val="false"/>
          <w:bCs w:val="false"/>
          <w:i w:val="false"/>
          <w:iCs w:val="false"/>
          <w:color w:val="1F2937"/>
          <w:sz w:val="20"/>
          <w:szCs w:val="20"/>
        </w:rPr>
        <w:t xml:space="preserve">The following limitations apply to all models in this framework:</w:t>
      </w:r>
    </w:p>
    <w:p>
      <w:pPr>
        <w:spacing w:after="100"/>
      </w:pPr>
      <w:r>
        <w:t xml:space="preserve"/>
      </w:r>
    </w:p>
    <w:p>
      <w:pPr>
        <w:pStyle w:val="ListParagraph"/>
        <w:numPr>
          <w:ilvl w:val="0"/>
          <w:numId w:val="2"/>
        </w:numPr>
        <w:spacing w:after="80"/>
      </w:pPr>
      <w:r>
        <w:rPr>
          <w:rFonts w:ascii="Arial" w:cs="Arial" w:eastAsia="Arial" w:hAnsi="Arial"/>
          <w:color w:val="374151"/>
          <w:sz w:val="20"/>
          <w:szCs w:val="20"/>
        </w:rPr>
        <w:t xml:space="preserve">Six satellite positions will never produce statistically reliable probability estimates. The confidence interval around any probability from a six-position portfolio is enormous. The model's outputs are illustrative scenarios, not forecasts.</w:t>
      </w:r>
    </w:p>
    <w:p>
      <w:pPr>
        <w:pStyle w:val="ListParagraph"/>
        <w:numPr>
          <w:ilvl w:val="0"/>
          <w:numId w:val="2"/>
        </w:numPr>
        <w:spacing w:after="80"/>
      </w:pPr>
      <w:r>
        <w:rPr>
          <w:rFonts w:ascii="Arial" w:cs="Arial" w:eastAsia="Arial" w:hAnsi="Arial"/>
          <w:color w:val="374151"/>
          <w:sz w:val="20"/>
          <w:szCs w:val="20"/>
        </w:rPr>
        <w:t xml:space="preserve">The mean is always above the median in venture modelling. The gap reflects the power law right tail. The median is what most LPs experience. The mean is what most funds report in their pitch decks. Both are shown explicitly in this framework.</w:t>
      </w:r>
    </w:p>
    <w:p>
      <w:pPr>
        <w:pStyle w:val="ListParagraph"/>
        <w:numPr>
          <w:ilvl w:val="0"/>
          <w:numId w:val="2"/>
        </w:numPr>
        <w:spacing w:after="80"/>
      </w:pPr>
      <w:r>
        <w:rPr>
          <w:rFonts w:ascii="Arial" w:cs="Arial" w:eastAsia="Arial" w:hAnsi="Arial"/>
          <w:color w:val="374151"/>
          <w:sz w:val="20"/>
          <w:szCs w:val="20"/>
        </w:rPr>
        <w:t xml:space="preserve">Carta benchmarks are historical. The 2017 vintage's exceptional performance reflects early AI and software investments made before the market priced them. A 2025–2027 vintage is unlikely to replicate those returns from equivalent entry valuations.</w:t>
      </w:r>
    </w:p>
    <w:p>
      <w:pPr>
        <w:pStyle w:val="ListParagraph"/>
        <w:numPr>
          <w:ilvl w:val="0"/>
          <w:numId w:val="2"/>
        </w:numPr>
        <w:spacing w:after="80"/>
      </w:pPr>
      <w:r>
        <w:rPr>
          <w:rFonts w:ascii="Arial" w:cs="Arial" w:eastAsia="Arial" w:hAnsi="Arial"/>
          <w:color w:val="374151"/>
          <w:sz w:val="20"/>
          <w:szCs w:val="20"/>
        </w:rPr>
        <w:t xml:space="preserve">The 7/7/6 manager mix has a probability of approximately 0.05–0.5% of being achieved. This is not a base case. It is an upper bound on what exceptional FoF selection could produce.</w:t>
      </w:r>
    </w:p>
    <w:p>
      <w:pPr>
        <w:pStyle w:val="ListParagraph"/>
        <w:numPr>
          <w:ilvl w:val="0"/>
          <w:numId w:val="2"/>
        </w:numPr>
        <w:spacing w:after="80"/>
      </w:pPr>
      <w:r>
        <w:rPr>
          <w:rFonts w:ascii="Arial" w:cs="Arial" w:eastAsia="Arial" w:hAnsi="Arial"/>
          <w:color w:val="374151"/>
          <w:sz w:val="20"/>
          <w:szCs w:val="20"/>
        </w:rPr>
        <w:t xml:space="preserve">The two-factor model's market regime probabilities are calibrated to historical venture exit environment data. Future macro conditions may differ materially, particularly given the AI transition's impact on company valuations and exit dynamics.</w:t>
      </w:r>
    </w:p>
    <w:p>
      <w:pPr>
        <w:pStyle w:val="ListParagraph"/>
        <w:numPr>
          <w:ilvl w:val="0"/>
          <w:numId w:val="2"/>
        </w:numPr>
        <w:spacing w:after="80"/>
      </w:pPr>
      <w:r>
        <w:rPr>
          <w:rFonts w:ascii="Arial" w:cs="Arial" w:eastAsia="Arial" w:hAnsi="Arial"/>
          <w:color w:val="374151"/>
          <w:sz w:val="20"/>
          <w:szCs w:val="20"/>
        </w:rPr>
        <w:t xml:space="preserve">This model does not account for the J-curve — fees are front-loaded, early TVPI will be below 1x, and DPI will be near zero for the first 5–7 years regardless of underlying performance.</w:t>
      </w:r>
    </w:p>
    <w:p>
      <w:pPr>
        <w:spacing w:after="100"/>
      </w:pPr>
      <w:r>
        <w:t xml:space="preserve"/>
      </w:r>
    </w:p>
    <w:p>
      <w:pPr>
        <w:spacing w:after="120"/>
        <w:jc w:val="both"/>
      </w:pPr>
      <w:r>
        <w:rPr>
          <w:rFonts w:ascii="Arial" w:cs="Arial" w:eastAsia="Arial" w:hAnsi="Arial"/>
          <w:b w:val="false"/>
          <w:bCs w:val="false"/>
          <w:i/>
          <w:iCs/>
          <w:color w:val="6B7280"/>
          <w:sz w:val="20"/>
          <w:szCs w:val="20"/>
        </w:rPr>
        <w:t xml:space="preserve">These models are tools for honest communication with limited partners. They are not guarantees, forecasts, or offers to sell securities. Actual results may differ materially from any scenario shown.</w:t>
      </w:r>
    </w:p>
    <w:p>
      <w:pPr>
        <w:spacing w:after="200"/>
      </w:pPr>
      <w:r>
        <w:t xml:space="preserve"/>
      </w:r>
    </w:p>
    <w:p>
      <w:pPr>
        <w:pBdr>
          <w:top w:val="single" w:color="CCCCCC" w:sz="6" w:space="1"/>
        </w:pBdr>
        <w:spacing w:after="80" w:before="200"/>
      </w:pPr>
    </w:p>
    <w:p>
      <w:pPr>
        <w:spacing w:after="120"/>
        <w:jc w:val="both"/>
      </w:pPr>
      <w:r>
        <w:rPr>
          <w:rFonts w:ascii="Arial" w:cs="Arial" w:eastAsia="Arial" w:hAnsi="Arial"/>
          <w:b w:val="false"/>
          <w:bCs w:val="false"/>
          <w:i/>
          <w:iCs/>
          <w:color w:val="6B7280"/>
          <w:sz w:val="20"/>
          <w:szCs w:val="20"/>
        </w:rPr>
        <w:t xml:space="preserve">Decile Capital · Premier Fund II · Confidential · May 2026. This document is for informational purposes only for existing Premier Fund limited partners. It does not constitute an offer or solicitation to make any investment. Past performance is not indicative of future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2026-05-21T22:34:24.392Z</dcterms:created>
  <dcterms:modified xsi:type="dcterms:W3CDTF">2026-05-21T22:34:24.409Z</dcterms:modified>
</cp:coreProperties>
</file>

<file path=docProps/custom.xml><?xml version="1.0" encoding="utf-8"?>
<Properties xmlns="http://schemas.openxmlformats.org/officeDocument/2006/custom-properties" xmlns:vt="http://schemas.openxmlformats.org/officeDocument/2006/docPropsVTypes"/>
</file>