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80"/>
        <w:jc w:val="center"/>
      </w:pPr>
      <w:r>
        <w:rPr>
          <w:rFonts w:ascii="Red Hat Display" w:cs="Red Hat Display" w:eastAsia="Red Hat Display" w:hAnsi="Red Hat Display"/>
          <w:b/>
          <w:bCs/>
          <w:color w:val="000000"/>
          <w:sz w:val="48"/>
          <w:szCs w:val="48"/>
        </w:rPr>
        <w:t xml:space="preserve">Informe de Consultoría Educacional</w:t>
      </w:r>
    </w:p>
    <w:p>
      <w:pPr>
        <w:spacing w:after="720"/>
        <w:jc w:val="center"/>
      </w:pPr>
      <w:r>
        <w:rPr>
          <w:rFonts w:ascii="Red Hat Display" w:cs="Red Hat Display" w:eastAsia="Red Hat Display" w:hAnsi="Red Hat Display"/>
          <w:color w:val="000000"/>
          <w:sz w:val="32"/>
          <w:szCs w:val="32"/>
        </w:rPr>
        <w:t xml:space="preserve">"Proyecto de Mejora Institucional"</w:t>
      </w:r>
    </w:p>
    <w:p>
      <w:pPr>
        <w:spacing w:after="2880"/>
        <w:jc w:val="center"/>
      </w:pPr>
      <w:r>
        <w:rPr>
          <w:rFonts w:ascii="Red Hat Display" w:cs="Red Hat Display" w:eastAsia="Red Hat Display" w:hAnsi="Red Hat Display"/>
          <w:b/>
          <w:bCs/>
          <w:color w:val="000000"/>
          <w:sz w:val="28"/>
          <w:szCs w:val="28"/>
        </w:rPr>
        <w:t xml:space="preserve">Octubre 2025</w:t>
      </w:r>
    </w:p>
    <w:p>
      <w:r>
        <w:br w:type="page"/>
      </w:r>
    </w:p>
    <w:p>
      <w:pPr>
        <w:spacing w:before="480" w:after="240"/>
        <w:ind w:left="720" w:right="720"/>
        <w:jc w:val="both"/>
      </w:pPr>
      <w:r>
        <w:rPr>
          <w:rFonts w:ascii="Red Hat Display" w:cs="Red Hat Display" w:eastAsia="Red Hat Display" w:hAnsi="Red Hat Display"/>
          <w:b/>
          <w:bCs/>
          <w:color w:val="000000"/>
          <w:sz w:val="22"/>
          <w:szCs w:val="22"/>
        </w:rPr>
        <w:t xml:space="preserve">ACLARATORIA:</w:t>
      </w:r>
    </w:p>
    <w:p>
      <w:pPr>
        <w:spacing w:after="120"/>
        <w:ind w:left="720" w:right="720"/>
        <w:jc w:val="both"/>
      </w:pPr>
      <w:r>
        <w:rPr>
          <w:rFonts w:ascii="Red Hat Display" w:cs="Red Hat Display" w:eastAsia="Red Hat Display" w:hAnsi="Red Hat Display"/>
          <w:color w:val="000000"/>
          <w:sz w:val="22"/>
          <w:szCs w:val="22"/>
        </w:rPr>
        <w:t xml:space="preserve">En el presente documento se utilizan de manera inclusiva términos como "el docente", "el estudiante", "el apoderado" y sus respectivos plurales para aludir al género masculino y femenino. Esta opción obedece a que no existe acuerdo universal respecto de cómo nombrar conjuntamente a ambos géneros en el idioma español, salvo usando "o/a", "los/las" y opciones similares, considerando que este tipo de recursos supone una saturación gráfica que puede dificultar la comprensión de la lectura del documento.</w:t>
      </w:r>
    </w:p>
    <w:p>
      <w:r>
        <w:br w:type="page"/>
      </w:r>
    </w:p>
    <w:p>
      <w:pPr>
        <w:pStyle w:val="Heading1"/>
      </w:pPr>
      <w:r>
        <w:t xml:space="preserve">Contenido</w:t>
      </w:r>
    </w:p>
    <w:p>
      <w:pPr>
        <w:spacing w:after="240"/>
      </w:pPr>
      <w:r>
        <w:rPr>
          <w:i/>
          <w:iCs/>
          <w:color w:val="545C5F"/>
          <w:sz w:val="20"/>
          <w:szCs w:val="20"/>
        </w:rPr>
        <w:t xml:space="preserve">[La tabla de contenidos se genera automáticamente en Word: Referencias → Tabla de contenido → Insertar tabla de contenido]</w:t>
      </w:r>
    </w:p>
    <w:p>
      <w:r>
        <w:br w:type="page"/>
      </w:r>
    </w:p>
    <w:p>
      <w:pPr>
        <w:pStyle w:val="Heading1"/>
      </w:pPr>
      <w:r>
        <w:t xml:space="preserve">Introducción</w:t>
      </w:r>
    </w:p>
    <w:p>
      <w:r>
        <w:t xml:space="preserve">El presente informe tiene por objetivo presentar los principales hallazgos y recomendaciones derivadas del proceso de consultoría educacional realizado durante el segundo semestre de 2025. En Grupo Educativo, nos comprometemos a acompañar procesos de mejora educativa basados en evidencia y buenas prácticas internacionales.</w:t>
      </w:r>
    </w:p>
    <w:p>
      <w:r>
        <w:t xml:space="preserve">Los resultados obtenidos demuestran avances significativos en las áreas priorizadas, con un incremento del 23,5% en los indicadores de calidad educativa y una mejora sustantiva en la satisfacción de la comunidad educativa.</w:t>
      </w:r>
    </w:p>
    <w:p>
      <w:pPr>
        <w:pStyle w:val="Heading2"/>
      </w:pPr>
      <w:r>
        <w:t xml:space="preserve">Contexto y Objetivos del Proceso</w:t>
      </w:r>
    </w:p>
    <w:p>
      <w:r>
        <w:t xml:space="preserve">La consultoría se desarrolló en el marco de un proceso de mejora continua iniciado por el establecimiento, con el objetivo de fortalecer sus prácticas pedagógicas y de gestión institucional. A continuación se presentan los principales componentes del proceso:</w:t>
      </w:r>
    </w:p>
    <w:p>
      <w:pPr>
        <w:pStyle w:val="ListParagraph"/>
        <w:numPr>
          <w:ilvl w:val="0"/>
          <w:numId w:val="2"/>
        </w:numPr>
      </w:pPr>
      <w:r>
        <w:t xml:space="preserve">Diagnóstico institucional participativo con todos los estamentos de la comunidad educativa</w:t>
      </w:r>
    </w:p>
    <w:p>
      <w:pPr>
        <w:pStyle w:val="ListParagraph"/>
        <w:numPr>
          <w:ilvl w:val="0"/>
          <w:numId w:val="2"/>
        </w:numPr>
      </w:pPr>
      <w:r>
        <w:t xml:space="preserve">Acompañamiento en aula y retroalimentación formativa a equipos docentes</w:t>
      </w:r>
    </w:p>
    <w:p>
      <w:pPr>
        <w:pStyle w:val="ListParagraph"/>
        <w:numPr>
          <w:ilvl w:val="0"/>
          <w:numId w:val="2"/>
        </w:numPr>
      </w:pPr>
      <w:r>
        <w:t xml:space="preserve">Diseño e implementación de estrategias de mejora en áreas prioritarias</w:t>
      </w:r>
    </w:p>
    <w:p>
      <w:pPr>
        <w:pStyle w:val="ListParagraph"/>
        <w:numPr>
          <w:ilvl w:val="1"/>
          <w:numId w:val="2"/>
        </w:numPr>
      </w:pPr>
      <w:r>
        <w:t xml:space="preserve">Prácticas pedagógicas centradas en el aprendizaje</w:t>
      </w:r>
    </w:p>
    <w:p>
      <w:pPr>
        <w:pStyle w:val="ListParagraph"/>
        <w:numPr>
          <w:ilvl w:val="1"/>
          <w:numId w:val="2"/>
        </w:numPr>
      </w:pPr>
      <w:r>
        <w:t xml:space="preserve">Sistemas de seguimiento y monitoreo institucional</w:t>
      </w:r>
    </w:p>
    <w:p>
      <w:pPr>
        <w:pStyle w:val="Heading1"/>
      </w:pPr>
      <w:r>
        <w:t xml:space="preserve">Principales Hallazgos</w:t>
      </w:r>
    </w:p>
    <w:p>
      <w:pPr>
        <w:pStyle w:val="Heading2"/>
      </w:pPr>
      <w:r>
        <w:t xml:space="preserve">Resultados Cuantitativos</w:t>
      </w:r>
    </w:p>
    <w:p>
      <w:pPr>
        <w:pStyle w:val="Heading3"/>
      </w:pPr>
      <w:r>
        <w:t xml:space="preserve">Impacto en Indicadores de Calidad</w:t>
      </w:r>
    </w:p>
    <w:p>
      <w:r>
        <w:t xml:space="preserve">Los indicadores de calidad educativa muestran mejoras consistentes en todas las dimensiones evaluadas. A continuación se presenta un resumen comparativo entre la línea base y los resultados finales: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545C5F" w:sz="1"/>
              <w:left w:val="single" w:color="545C5F" w:sz="1"/>
              <w:bottom w:val="single" w:color="545C5F" w:sz="1"/>
              <w:right w:val="single" w:color="545C5F" w:sz="1"/>
            </w:tcBorders>
            <w:shd w:fill="739233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Dimensión</w:t>
            </w:r>
          </w:p>
        </w:tc>
        <w:tc>
          <w:tcPr>
            <w:tcW w:type="dxa" w:w="3120"/>
            <w:tcBorders>
              <w:top w:val="single" w:color="545C5F" w:sz="1"/>
              <w:left w:val="single" w:color="545C5F" w:sz="1"/>
              <w:bottom w:val="single" w:color="545C5F" w:sz="1"/>
              <w:right w:val="single" w:color="545C5F" w:sz="1"/>
            </w:tcBorders>
            <w:shd w:fill="739233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Línea Base</w:t>
            </w:r>
          </w:p>
        </w:tc>
        <w:tc>
          <w:tcPr>
            <w:tcW w:type="dxa" w:w="3120"/>
            <w:tcBorders>
              <w:top w:val="single" w:color="545C5F" w:sz="1"/>
              <w:left w:val="single" w:color="545C5F" w:sz="1"/>
              <w:bottom w:val="single" w:color="545C5F" w:sz="1"/>
              <w:right w:val="single" w:color="545C5F" w:sz="1"/>
            </w:tcBorders>
            <w:shd w:fill="739233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Resultado Final</w:t>
            </w:r>
          </w:p>
        </w:tc>
      </w:tr>
      <w:tr>
        <w:tc>
          <w:tcPr>
            <w:tcW w:type="dxa" w:w="3120"/>
            <w:tcBorders>
              <w:top w:val="single" w:color="545C5F" w:sz="1"/>
              <w:left w:val="single" w:color="545C5F" w:sz="1"/>
              <w:bottom w:val="single" w:color="545C5F" w:sz="1"/>
              <w:right w:val="single" w:color="545C5F" w:sz="1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t xml:space="preserve">Prácticas Pedagógicas</w:t>
            </w:r>
          </w:p>
        </w:tc>
        <w:tc>
          <w:tcPr>
            <w:tcW w:type="dxa" w:w="3120"/>
            <w:tcBorders>
              <w:top w:val="single" w:color="545C5F" w:sz="1"/>
              <w:left w:val="single" w:color="545C5F" w:sz="1"/>
              <w:bottom w:val="single" w:color="545C5F" w:sz="1"/>
              <w:right w:val="single" w:color="545C5F" w:sz="1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t xml:space="preserve">65,2%</w:t>
            </w:r>
          </w:p>
        </w:tc>
        <w:tc>
          <w:tcPr>
            <w:tcW w:type="dxa" w:w="3120"/>
            <w:tcBorders>
              <w:top w:val="single" w:color="545C5F" w:sz="1"/>
              <w:left w:val="single" w:color="545C5F" w:sz="1"/>
              <w:bottom w:val="single" w:color="545C5F" w:sz="1"/>
              <w:right w:val="single" w:color="545C5F" w:sz="1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t xml:space="preserve">88,7%</w:t>
            </w:r>
          </w:p>
        </w:tc>
      </w:tr>
      <w:tr>
        <w:tc>
          <w:tcPr>
            <w:tcW w:type="dxa" w:w="3120"/>
            <w:tcBorders>
              <w:top w:val="single" w:color="545C5F" w:sz="1"/>
              <w:left w:val="single" w:color="545C5F" w:sz="1"/>
              <w:bottom w:val="single" w:color="545C5F" w:sz="1"/>
              <w:right w:val="single" w:color="545C5F" w:sz="1"/>
            </w:tcBorders>
            <w:shd w:fill="F9F9F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t xml:space="preserve">Liderazgo Directivo</w:t>
            </w:r>
          </w:p>
        </w:tc>
        <w:tc>
          <w:tcPr>
            <w:tcW w:type="dxa" w:w="3120"/>
            <w:tcBorders>
              <w:top w:val="single" w:color="545C5F" w:sz="1"/>
              <w:left w:val="single" w:color="545C5F" w:sz="1"/>
              <w:bottom w:val="single" w:color="545C5F" w:sz="1"/>
              <w:right w:val="single" w:color="545C5F" w:sz="1"/>
            </w:tcBorders>
            <w:shd w:fill="F9F9F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t xml:space="preserve">72,8%</w:t>
            </w:r>
          </w:p>
        </w:tc>
        <w:tc>
          <w:tcPr>
            <w:tcW w:type="dxa" w:w="3120"/>
            <w:tcBorders>
              <w:top w:val="single" w:color="545C5F" w:sz="1"/>
              <w:left w:val="single" w:color="545C5F" w:sz="1"/>
              <w:bottom w:val="single" w:color="545C5F" w:sz="1"/>
              <w:right w:val="single" w:color="545C5F" w:sz="1"/>
            </w:tcBorders>
            <w:shd w:fill="F9F9F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t xml:space="preserve">91,3%</w:t>
            </w:r>
          </w:p>
        </w:tc>
      </w:tr>
      <w:tr>
        <w:tc>
          <w:tcPr>
            <w:tcW w:type="dxa" w:w="3120"/>
            <w:tcBorders>
              <w:top w:val="single" w:color="545C5F" w:sz="1"/>
              <w:left w:val="single" w:color="545C5F" w:sz="1"/>
              <w:bottom w:val="single" w:color="545C5F" w:sz="1"/>
              <w:right w:val="single" w:color="545C5F" w:sz="1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t xml:space="preserve">Convivencia Escolar</w:t>
            </w:r>
          </w:p>
        </w:tc>
        <w:tc>
          <w:tcPr>
            <w:tcW w:type="dxa" w:w="3120"/>
            <w:tcBorders>
              <w:top w:val="single" w:color="545C5F" w:sz="1"/>
              <w:left w:val="single" w:color="545C5F" w:sz="1"/>
              <w:bottom w:val="single" w:color="545C5F" w:sz="1"/>
              <w:right w:val="single" w:color="545C5F" w:sz="1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t xml:space="preserve">78,5%</w:t>
            </w:r>
          </w:p>
        </w:tc>
        <w:tc>
          <w:tcPr>
            <w:tcW w:type="dxa" w:w="3120"/>
            <w:tcBorders>
              <w:top w:val="single" w:color="545C5F" w:sz="1"/>
              <w:left w:val="single" w:color="545C5F" w:sz="1"/>
              <w:bottom w:val="single" w:color="545C5F" w:sz="1"/>
              <w:right w:val="single" w:color="545C5F" w:sz="1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t xml:space="preserve">93,1%</w:t>
            </w:r>
          </w:p>
        </w:tc>
      </w:tr>
    </w:tbl>
    <w:p>
      <w:pPr>
        <w:pStyle w:val="Heading4"/>
      </w:pPr>
      <w:r>
        <w:t xml:space="preserve">Análisis de Resultados por Dimensión</w:t>
      </w:r>
    </w:p>
    <w:p>
      <w:r>
        <w:t xml:space="preserve">El análisis detallado permite identificar patrones de mejora consistentes en las tres dimensiones evaluadas, destacando especialmente los avances en convivencia escolar.</w:t>
      </w:r>
    </w:p>
    <w:p>
      <w:pPr>
        <w:pStyle w:val="Heading5"/>
      </w:pPr>
      <w:r>
        <w:t xml:space="preserve">Factores de Éxito Identificados</w:t>
      </w:r>
    </w:p>
    <w:p>
      <w:r>
        <w:t xml:space="preserve">Entre los principales factores de éxito se destacan el compromiso sostenido del equipo directivo y la participación activa de los docentes en los espacios de trabajo colaborativo.</w:t>
      </w:r>
    </w:p>
    <w:p>
      <w:pPr>
        <w:pStyle w:val="Heading6"/>
      </w:pPr>
      <w:r>
        <w:t xml:space="preserve">Recomendaciones Específicas por Dimensión</w:t>
      </w:r>
    </w:p>
    <w:p>
      <w:r>
        <w:t xml:space="preserve">Se recomienda mantener la frecuencia de los espacios de trabajo colaborativo, fortalecer los mecanismos de seguimiento y sistematizar las buenas prácticas identificadas.</w:t>
      </w:r>
    </w:p>
    <w:p>
      <w:pPr>
        <w:pStyle w:val="Heading1"/>
      </w:pPr>
      <w:r>
        <w:t xml:space="preserve">Conclusiones y Próximos Pasos</w:t>
      </w:r>
    </w:p>
    <w:p>
      <w:r>
        <w:t xml:space="preserve">Con base en nuestra experiencia en procesos de mejora educativa y los resultados obtenidos, se recomienda dar continuidad al proceso mediante la consolidación de las prácticas implementadas y el desarrollo de nuevas estrategias de acompañamiento.</w:t>
      </w:r>
    </w:p>
    <w:p>
      <w:pPr>
        <w:spacing w:before="360"/>
      </w:pPr>
      <w:r>
        <w:t xml:space="preserve">Agradecemos la confianza depositada en nuestro equipo profesional. Quedamos a disposición para ampliar cualquier punto del presente documento y continuar acompañando el proceso de mejora institucional durante el próximo ciclo académico.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Red Hat Display" w:cs="Red Hat Display" w:eastAsia="Red Hat Display" w:hAnsi="Red Hat Display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259" w:lineRule="auto"/>
      <w:jc w:val="both"/>
    </w:pPr>
    <w:rPr>
      <w:rFonts w:ascii="Red Hat Display" w:cs="Red Hat Display" w:eastAsia="Red Hat Display" w:hAnsi="Red Hat Display"/>
      <w:color w:val="000000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spacing w:after="240"/>
      <w:jc w:val="both"/>
      <w:outlineLvl w:val="0"/>
    </w:pPr>
    <w:rPr>
      <w:rFonts w:ascii="Red Hat Display" w:cs="Red Hat Display" w:eastAsia="Red Hat Display" w:hAnsi="Red Hat Display"/>
      <w:b/>
      <w:bCs/>
      <w:color w:val="AE2D76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120" w:after="240"/>
      <w:jc w:val="both"/>
      <w:outlineLvl w:val="1"/>
    </w:pPr>
    <w:rPr>
      <w:rFonts w:ascii="Red Hat Display" w:cs="Red Hat Display" w:eastAsia="Red Hat Display" w:hAnsi="Red Hat Display"/>
      <w:b/>
      <w:bCs/>
      <w:color w:val="739233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120" w:after="120"/>
      <w:jc w:val="both"/>
      <w:outlineLvl w:val="2"/>
    </w:pPr>
    <w:rPr>
      <w:rFonts w:ascii="Red Hat Display" w:cs="Red Hat Display" w:eastAsia="Red Hat Display" w:hAnsi="Red Hat Display"/>
      <w:b/>
      <w:bCs/>
      <w:color w:val="498599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120" w:after="120"/>
      <w:jc w:val="both"/>
      <w:outlineLvl w:val="3"/>
    </w:pPr>
    <w:rPr>
      <w:rFonts w:ascii="Red Hat Display" w:cs="Red Hat Display" w:eastAsia="Red Hat Display" w:hAnsi="Red Hat Display"/>
      <w:b/>
      <w:bCs/>
      <w:i/>
      <w:iCs/>
      <w:color w:val="AE2D7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120" w:after="120"/>
      <w:jc w:val="both"/>
      <w:outlineLvl w:val="4"/>
    </w:pPr>
    <w:rPr>
      <w:rFonts w:ascii="Red Hat Display" w:cs="Red Hat Display" w:eastAsia="Red Hat Display" w:hAnsi="Red Hat Display"/>
      <w:b/>
      <w:bCs/>
      <w:i/>
      <w:iCs/>
      <w:color w:val="739233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before="120" w:after="120"/>
      <w:jc w:val="both"/>
      <w:outlineLvl w:val="5"/>
    </w:pPr>
    <w:rPr>
      <w:rFonts w:ascii="Red Hat Display" w:cs="Red Hat Display" w:eastAsia="Red Hat Display" w:hAnsi="Red Hat Display"/>
      <w:b/>
      <w:bCs/>
      <w:i/>
      <w:iCs/>
      <w:color w:val="49859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2025-11-28T12:55:39.815Z</dcterms:created>
  <dcterms:modified xsi:type="dcterms:W3CDTF">2025-11-28T12:55:39.819Z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