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rPr/>
      </w:pPr>
      <w:r>
        <w:rPr/>
        <w:t>DETAILED BUDGET PLAN</w:t>
      </w:r>
    </w:p>
    <w:p>
      <w:pPr>
        <w:pStyle w:val="Subtitle"/>
        <w:jc w:val="both"/>
        <w:rPr/>
      </w:pPr>
      <w:r>
        <w:rPr/>
        <w:t>Hybridizing Metaheuristics with Generative AI Techniques for Selected Graph Problems</w:t>
      </w:r>
    </w:p>
    <w:p>
      <w:pPr>
        <w:pStyle w:val="Normal"/>
        <w:rPr/>
      </w:pPr>
      <w:r>
        <w:rPr>
          <w:b/>
        </w:rPr>
        <w:t>Bosnia and Herzegovina–Austria Bilateral Research Cooperation  |  Project period: 2027–2028</w:t>
      </w:r>
    </w:p>
    <w:p>
      <w:pPr>
        <w:pStyle w:val="Heading1"/>
        <w:rPr/>
      </w:pPr>
      <w:r>
        <w:rPr/>
        <w:t>1. Costing assumptions</w:t>
      </w:r>
    </w:p>
    <w:p>
      <w:pPr>
        <w:pStyle w:val="Normal"/>
        <w:rPr/>
      </w:pPr>
      <w:r>
        <w:rPr/>
        <w:t>Budget covers researcher mobility only, based on the participant-specific allocation</w:t>
      </w:r>
      <w:r>
        <w:rPr/>
        <w:t>s in</w:t>
      </w:r>
      <w:r>
        <w:rPr/>
        <w:t xml:space="preserve"> the project timeline. </w:t>
      </w:r>
    </w:p>
    <w:p>
      <w:pPr>
        <w:pStyle w:val="Normal"/>
        <w:rPr/>
      </w:pPr>
      <w:r>
        <w:rPr/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5040"/>
        <w:gridCol w:w="5039"/>
      </w:tblGrid>
      <w:tr>
        <w:trPr/>
        <w:tc>
          <w:tcPr>
            <w:tcW w:w="50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Budget parameter</w:t>
            </w:r>
          </w:p>
        </w:tc>
        <w:tc>
          <w:tcPr>
            <w:tcW w:w="50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Rate / rule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BiH team: daily stay allowance while in Austria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200 per researcher per day of stay in Austria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Austrian team: daily stay allowance while in BiH</w:t>
            </w:r>
          </w:p>
        </w:tc>
        <w:tc>
          <w:tcPr>
            <w:tcW w:w="50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C9211E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C9211E"/>
                <w:kern w:val="0"/>
                <w:sz w:val="16"/>
                <w:szCs w:val="22"/>
                <w:lang w:val="en-US" w:eastAsia="en-US" w:bidi="ar-SA"/>
              </w:rPr>
              <w:t>140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 xml:space="preserve"> per researcher per day of stay in Bosnia and Herzegovina</w:t>
            </w:r>
          </w:p>
        </w:tc>
      </w:tr>
      <w:tr>
        <w:trPr/>
        <w:tc>
          <w:tcPr>
            <w:tcW w:w="50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Air</w:t>
            </w: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plane</w:t>
            </w: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 xml:space="preserve"> travel</w:t>
            </w:r>
          </w:p>
        </w:tc>
        <w:tc>
          <w:tcPr>
            <w:tcW w:w="50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300 per person per return flight itinerary (round tr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ip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)</w:t>
            </w:r>
          </w:p>
        </w:tc>
      </w:tr>
      <w:tr>
        <w:trPr/>
        <w:tc>
          <w:tcPr>
            <w:tcW w:w="50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Research visits</w:t>
            </w:r>
          </w:p>
        </w:tc>
        <w:tc>
          <w:tcPr>
            <w:tcW w:w="503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sz w:val="16"/>
              </w:rPr>
            </w:pPr>
            <w:r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r>
          </w:p>
        </w:tc>
      </w:tr>
    </w:tbl>
    <w:p>
      <w:pPr>
        <w:pStyle w:val="Heading1"/>
        <w:rPr/>
      </w:pPr>
      <w:r>
        <w:rPr/>
        <w:t xml:space="preserve">2. Itemized researcher mobility budget </w:t>
      </w:r>
      <w:r>
        <w:rPr>
          <w:rFonts w:eastAsia="ＭＳ 明朝" w:cs=""/>
          <w:color w:val="365F91"/>
          <w:kern w:val="0"/>
          <w:sz w:val="16"/>
          <w:szCs w:val="22"/>
          <w:lang w:val="en-US" w:eastAsia="en-US" w:bidi="ar-SA"/>
        </w:rPr>
        <w:t>Individual days as listed in exchange plan</w:t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119"/>
        <w:gridCol w:w="1120"/>
        <w:gridCol w:w="1120"/>
        <w:gridCol w:w="1120"/>
        <w:gridCol w:w="1121"/>
        <w:gridCol w:w="1120"/>
        <w:gridCol w:w="1120"/>
        <w:gridCol w:w="1120"/>
        <w:gridCol w:w="1119"/>
      </w:tblGrid>
      <w:tr>
        <w:trPr/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Year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Direction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Researcher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Days</w:t>
            </w:r>
          </w:p>
        </w:tc>
        <w:tc>
          <w:tcPr>
            <w:tcW w:w="112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Daily rate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Daily stay allowance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Flights</w:t>
            </w:r>
          </w:p>
        </w:tc>
        <w:tc>
          <w:tcPr>
            <w:tcW w:w="112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Airfare</w:t>
            </w:r>
          </w:p>
        </w:tc>
        <w:tc>
          <w:tcPr>
            <w:tcW w:w="111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Total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Martin Wustinger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12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140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700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1,000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Günther Raidl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12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140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700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1,000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Marko Đukanović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12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600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Tatjana Zec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12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600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Bojan Nikolić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12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600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2027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M. Predojević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</w:t>
            </w:r>
          </w:p>
        </w:tc>
        <w:tc>
          <w:tcPr>
            <w:tcW w:w="112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600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900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2028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Martin Wustinger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10</w:t>
            </w:r>
          </w:p>
        </w:tc>
        <w:tc>
          <w:tcPr>
            <w:tcW w:w="112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140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1,400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,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70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2028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Günther Raidl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12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140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700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1,000</w:t>
            </w:r>
          </w:p>
        </w:tc>
      </w:tr>
      <w:tr>
        <w:trPr/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2028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Marko Đukanović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12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1,000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1,300</w:t>
            </w:r>
          </w:p>
        </w:tc>
      </w:tr>
      <w:tr>
        <w:trPr/>
        <w:tc>
          <w:tcPr>
            <w:tcW w:w="11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4"/>
                <w:szCs w:val="22"/>
                <w:lang w:val="en-US" w:eastAsia="en-US" w:bidi="ar-SA"/>
              </w:rPr>
              <w:t>2028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M. Predojević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5</w:t>
            </w:r>
          </w:p>
        </w:tc>
        <w:tc>
          <w:tcPr>
            <w:tcW w:w="112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200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1,000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</w:t>
            </w:r>
          </w:p>
        </w:tc>
        <w:tc>
          <w:tcPr>
            <w:tcW w:w="112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300</w:t>
            </w:r>
          </w:p>
        </w:tc>
        <w:tc>
          <w:tcPr>
            <w:tcW w:w="111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4"/>
                <w:szCs w:val="22"/>
                <w:lang w:val="en-US" w:eastAsia="en-US" w:bidi="ar-SA"/>
              </w:rPr>
              <w:t>1,300</w:t>
            </w:r>
          </w:p>
        </w:tc>
      </w:tr>
    </w:tbl>
    <w:p>
      <w:pPr>
        <w:pStyle w:val="Heading1"/>
        <w:rPr/>
      </w:pPr>
      <w:r>
        <w:rPr/>
        <w:t>3. Separate budgets by partner team</w:t>
      </w:r>
    </w:p>
    <w:p>
      <w:pPr>
        <w:pStyle w:val="Normal"/>
        <w:rPr/>
      </w:pPr>
      <w:r>
        <w:rPr/>
        <w:t>BiH team (researchers travelling from Bosnia and Herzegovina to Austria): 22 days of stay × €200/day = €4,400 in daily stay allowances; 6 return airfares × €300 = €1,800. Total: €6,200 (2027: €3,600; 2028: €2,600).</w:t>
      </w:r>
    </w:p>
    <w:p>
      <w:pPr>
        <w:pStyle w:val="Normal"/>
        <w:rPr/>
      </w:pPr>
      <w:r>
        <w:rPr/>
        <w:t xml:space="preserve">Austrian team (researchers travelling from Austria to Bosnia and Herzegovina): 25 days of stay × €140/day = €3,500 in daily stay allowances; </w:t>
      </w:r>
      <w:r>
        <w:rPr/>
        <w:t xml:space="preserve">4 </w:t>
      </w:r>
      <w:r>
        <w:rPr/>
        <w:t>return airfares × €300 = €1,</w:t>
      </w:r>
      <w:r>
        <w:rPr/>
        <w:t>2</w:t>
      </w:r>
      <w:r>
        <w:rPr/>
        <w:t>00. Total: €</w:t>
      </w:r>
      <w:r>
        <w:rPr/>
        <w:t>4</w:t>
      </w:r>
      <w:r>
        <w:rPr/>
        <w:t>,</w:t>
      </w:r>
      <w:r>
        <w:rPr/>
        <w:t>70</w:t>
      </w:r>
      <w:r>
        <w:rPr/>
        <w:t>0 (2027: €2,000; 2028: €</w:t>
      </w:r>
      <w:r>
        <w:rPr/>
        <w:t>2</w:t>
      </w:r>
      <w:r>
        <w:rPr/>
        <w:t>,</w:t>
      </w:r>
      <w:r>
        <w:rPr/>
        <w:t>7</w:t>
      </w:r>
      <w:r>
        <w:rPr/>
        <w:t>00).</w:t>
      </w:r>
    </w:p>
    <w:p>
      <w:pPr>
        <w:pStyle w:val="Normal"/>
        <w:jc w:val="both"/>
        <w:rPr/>
      </w:pPr>
      <w:r>
        <w:rPr/>
        <w:t xml:space="preserve">The €200 and €140 rates are daily allowances for the period of staying in the HOST country.    </w:t>
      </w:r>
    </w:p>
    <w:p>
      <w:pPr>
        <w:pStyle w:val="Heading1"/>
        <w:rPr/>
      </w:pPr>
      <w:r>
        <w:rPr/>
      </w:r>
    </w:p>
    <w:p>
      <w:pPr>
        <w:pStyle w:val="Heading1"/>
        <w:rPr/>
      </w:pPr>
      <w:r>
        <w:rPr/>
        <w:t>4. Annual and directional budget summary</w:t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440"/>
        <w:gridCol w:w="1439"/>
        <w:gridCol w:w="1441"/>
        <w:gridCol w:w="1439"/>
        <w:gridCol w:w="1441"/>
        <w:gridCol w:w="1439"/>
        <w:gridCol w:w="1440"/>
      </w:tblGrid>
      <w:tr>
        <w:trPr/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Year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Mobility direction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Person-days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Return trips</w:t>
            </w:r>
          </w:p>
        </w:tc>
        <w:tc>
          <w:tcPr>
            <w:tcW w:w="1441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Stay costs</w:t>
            </w:r>
          </w:p>
        </w:tc>
        <w:tc>
          <w:tcPr>
            <w:tcW w:w="1439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Flight costs</w:t>
            </w:r>
          </w:p>
        </w:tc>
        <w:tc>
          <w:tcPr>
            <w:tcW w:w="144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Grand total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2027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1,400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600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2,000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2027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44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12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44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2,400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1,200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3,600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2028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Austria → BiH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15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2,100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6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,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7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00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2028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BiH → Austria</w:t>
            </w:r>
          </w:p>
        </w:tc>
        <w:tc>
          <w:tcPr>
            <w:tcW w:w="144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</w:t>
            </w:r>
          </w:p>
        </w:tc>
        <w:tc>
          <w:tcPr>
            <w:tcW w:w="1441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2,000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600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2,600</w:t>
            </w:r>
          </w:p>
        </w:tc>
      </w:tr>
      <w:tr>
        <w:trPr/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2027 subtotal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Both directions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22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6</w:t>
            </w:r>
          </w:p>
        </w:tc>
        <w:tc>
          <w:tcPr>
            <w:tcW w:w="1441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3,800</w:t>
            </w:r>
          </w:p>
        </w:tc>
        <w:tc>
          <w:tcPr>
            <w:tcW w:w="1439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1,800</w:t>
            </w:r>
          </w:p>
        </w:tc>
        <w:tc>
          <w:tcPr>
            <w:tcW w:w="144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5,600</w:t>
            </w:r>
          </w:p>
        </w:tc>
      </w:tr>
      <w:tr>
        <w:trPr/>
        <w:tc>
          <w:tcPr>
            <w:tcW w:w="14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6"/>
                <w:szCs w:val="22"/>
                <w:lang w:val="en-US" w:eastAsia="en-US" w:bidi="ar-SA"/>
              </w:rPr>
              <w:t>2028 subtotal</w:t>
            </w:r>
          </w:p>
        </w:tc>
        <w:tc>
          <w:tcPr>
            <w:tcW w:w="143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Both directions</w:t>
            </w:r>
          </w:p>
        </w:tc>
        <w:tc>
          <w:tcPr>
            <w:tcW w:w="144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25</w:t>
            </w:r>
          </w:p>
        </w:tc>
        <w:tc>
          <w:tcPr>
            <w:tcW w:w="143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4</w:t>
            </w:r>
          </w:p>
        </w:tc>
        <w:tc>
          <w:tcPr>
            <w:tcW w:w="1441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4,100</w:t>
            </w:r>
          </w:p>
        </w:tc>
        <w:tc>
          <w:tcPr>
            <w:tcW w:w="1439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1,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2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00</w:t>
            </w:r>
          </w:p>
        </w:tc>
        <w:tc>
          <w:tcPr>
            <w:tcW w:w="144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5,</w:t>
            </w:r>
            <w:r>
              <w:rPr>
                <w:rFonts w:eastAsia="ＭＳ 明朝" w:cs=""/>
                <w:color w:val="365F91"/>
                <w:kern w:val="0"/>
                <w:sz w:val="16"/>
                <w:szCs w:val="22"/>
                <w:lang w:val="en-US" w:eastAsia="en-US" w:bidi="ar-SA"/>
              </w:rPr>
              <w:t>300</w:t>
            </w:r>
          </w:p>
        </w:tc>
      </w:tr>
    </w:tbl>
    <w:p>
      <w:pPr>
        <w:pStyle w:val="Heading1"/>
        <w:rPr/>
      </w:pPr>
      <w:r>
        <w:rPr/>
        <w:t>5. Overall requested budget</w:t>
      </w:r>
    </w:p>
    <w:tbl>
      <w:tblPr>
        <w:tblStyle w:val="LightShading-Accent1"/>
        <w:tblW w:w="1008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360"/>
        <w:gridCol w:w="3360"/>
        <w:gridCol w:w="3360"/>
      </w:tblGrid>
      <w:tr>
        <w:trPr/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Category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Calculation</w:t>
            </w:r>
          </w:p>
        </w:tc>
        <w:tc>
          <w:tcPr>
            <w:tcW w:w="3360" w:type="dxa"/>
            <w:tcBorders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Amount</w:t>
            </w:r>
          </w:p>
        </w:tc>
      </w:tr>
      <w:tr>
        <w:trPr/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BiH researchers in Austria</w:t>
            </w:r>
          </w:p>
        </w:tc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22 person-days × €200</w:t>
            </w:r>
          </w:p>
        </w:tc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4,400</w:t>
            </w:r>
          </w:p>
        </w:tc>
      </w:tr>
      <w:tr>
        <w:trPr/>
        <w:tc>
          <w:tcPr>
            <w:tcW w:w="336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Austrian researchers in BiH</w:t>
            </w:r>
          </w:p>
        </w:tc>
        <w:tc>
          <w:tcPr>
            <w:tcW w:w="336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25 person-days × €140</w:t>
            </w:r>
          </w:p>
        </w:tc>
        <w:tc>
          <w:tcPr>
            <w:tcW w:w="3360" w:type="dxa"/>
            <w:tcBorders>
              <w:top w:val="nil"/>
              <w:bottom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3,500</w:t>
            </w:r>
          </w:p>
        </w:tc>
      </w:tr>
      <w:tr>
        <w:trPr/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Flights</w:t>
            </w:r>
          </w:p>
        </w:tc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 xml:space="preserve"> return trips × €300</w:t>
            </w:r>
          </w:p>
        </w:tc>
        <w:tc>
          <w:tcPr>
            <w:tcW w:w="3360" w:type="dxa"/>
            <w:tcBorders>
              <w:top w:val="nil"/>
              <w:bottom w:val="nil"/>
            </w:tcBorders>
            <w:shd w:color="auto" w:fill="D3DFEE" w:themeFill="accent1" w:themeFillTint="3f" w:val="clear"/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3,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00</w:t>
            </w:r>
          </w:p>
        </w:tc>
      </w:tr>
      <w:tr>
        <w:trPr/>
        <w:tc>
          <w:tcPr>
            <w:tcW w:w="336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b/>
                <w:b/>
                <w:bCs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bCs/>
                <w:color w:val="365F91"/>
                <w:kern w:val="0"/>
                <w:sz w:val="18"/>
                <w:szCs w:val="22"/>
                <w:lang w:val="en-US" w:eastAsia="en-US" w:bidi="ar-SA"/>
              </w:rPr>
              <w:t>TOTAL MOBILITY BUDGET</w:t>
            </w:r>
          </w:p>
        </w:tc>
        <w:tc>
          <w:tcPr>
            <w:tcW w:w="336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47 person-days; 11 return trips</w:t>
            </w:r>
          </w:p>
        </w:tc>
        <w:tc>
          <w:tcPr>
            <w:tcW w:w="3360" w:type="dxa"/>
            <w:tcBorders>
              <w:top w:val="nil"/>
            </w:tcBorders>
            <w:vAlign w:val="center"/>
          </w:tcPr>
          <w:p>
            <w:pPr>
              <w:pStyle w:val="Normal"/>
              <w:widowControl/>
              <w:spacing w:lineRule="auto" w:line="240" w:before="20" w:after="20"/>
              <w:jc w:val="left"/>
              <w:rPr>
                <w:rFonts w:eastAsia="ＭＳ 明朝" w:cs=""/>
                <w:color w:val="365F91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€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1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0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,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9</w:t>
            </w:r>
            <w:r>
              <w:rPr>
                <w:rFonts w:eastAsia="ＭＳ 明朝" w:cs=""/>
                <w:color w:val="365F91"/>
                <w:kern w:val="0"/>
                <w:sz w:val="18"/>
                <w:szCs w:val="22"/>
                <w:lang w:val="en-US" w:eastAsia="en-US" w:bidi="ar-SA"/>
              </w:rPr>
              <w:t>00</w:t>
            </w:r>
          </w:p>
        </w:tc>
      </w:tr>
    </w:tbl>
    <w:p>
      <w:pPr>
        <w:pStyle w:val="Heading1"/>
        <w:rPr/>
      </w:pPr>
      <w:r>
        <w:rPr/>
        <w:t xml:space="preserve"> </w:t>
      </w:r>
    </w:p>
    <w:p>
      <w:pPr>
        <w:pStyle w:val="ListBullet"/>
        <w:numPr>
          <w:ilvl w:val="0"/>
          <w:numId w:val="1"/>
        </w:numPr>
        <w:rPr>
          <w:color w:val="C9211E"/>
        </w:rPr>
      </w:pPr>
      <w:r>
        <w:rPr>
          <w:color w:val="C9211E"/>
        </w:rPr>
        <w:t xml:space="preserve">TODO: </w:t>
      </w:r>
      <w:r>
        <w:rPr>
          <w:color w:val="C9211E"/>
        </w:rPr>
        <w:t>Confirm whether the funding programme requires separate institutional budget forms, eligible-expense categories, and any ceilings before submission.</w:t>
      </w:r>
    </w:p>
    <w:p>
      <w:pPr>
        <w:pStyle w:val="Normal"/>
        <w:widowControl/>
        <w:bidi w:val="0"/>
        <w:spacing w:lineRule="auto" w:line="276" w:before="0" w:after="100"/>
        <w:jc w:val="left"/>
        <w:rPr/>
      </w:pPr>
      <w:r>
        <w:rPr>
          <w:i/>
        </w:rPr>
        <w:t xml:space="preserve"> </w:t>
      </w:r>
    </w:p>
    <w:sectPr>
      <w:type w:val="nextPage"/>
      <w:pgSz w:w="12240" w:h="15840"/>
      <w:pgMar w:left="1080" w:right="1080" w:gutter="0" w:header="0" w:top="1123" w:footer="0" w:bottom="1008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62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100"/>
      <w:jc w:val="left"/>
    </w:pPr>
    <w:rPr>
      <w:rFonts w:ascii="Aptos" w:hAnsi="Aptos" w:eastAsia="ＭＳ 明朝" w:cs="" w:cstheme="minorBidi" w:eastAsiaTheme="minorEastAsia"/>
      <w:color w:val="auto"/>
      <w:kern w:val="0"/>
      <w:sz w:val="18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9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95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959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1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1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  <w:pPr/>
    <w:rPr/>
  </w:style>
  <w:style w:type="paragraph" w:styleId="Contents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LibreOffice/7.3.7.2$Linux_X86_64 LibreOffice_project/30$Build-2</Application>
  <AppVersion>15.0000</AppVersion>
  <Pages>2</Pages>
  <Words>464</Words>
  <Characters>2355</Characters>
  <CharactersWithSpaces>2640</CharactersWithSpaces>
  <Paragraphs>187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2026-10-23T01:08:16Z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