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PROJECT TIMELINE AND RESEARCH EXCHANGE PLAN</w:t>
      </w:r>
    </w:p>
    <w:p>
      <w:pPr>
        <w:pStyle w:val="Subtitle"/>
        <w:jc w:val="center"/>
        <w:rPr/>
      </w:pPr>
      <w:r>
        <w:rPr/>
        <w:t>Hybridizing Metaheuristics with Generative AI Techniques for Selected Graph Problems</w:t>
      </w:r>
    </w:p>
    <w:p>
      <w:pPr>
        <w:pStyle w:val="Normal"/>
        <w:jc w:val="both"/>
        <w:rPr/>
      </w:pPr>
      <w:r>
        <w:rPr/>
        <w:t>Bilateral research cooperation: Bosnia and Herzegovina – Austria  |  2027–2028</w:t>
      </w:r>
    </w:p>
    <w:p>
      <w:pPr>
        <w:pStyle w:val="Heading1"/>
        <w:rPr/>
      </w:pPr>
      <w:r>
        <w:rPr/>
        <w:t>1. Project implementation schedule</w:t>
      </w:r>
    </w:p>
    <w:p>
      <w:pPr>
        <w:pStyle w:val="Normal"/>
        <w:rPr/>
      </w:pPr>
      <w:r>
        <w:rPr/>
      </w:r>
    </w:p>
    <w:p>
      <w:pPr>
        <w:pStyle w:val="Normal"/>
        <w:rPr/>
      </w:pPr>
      <w:r>
        <w:rPr/>
        <w:t xml:space="preserve">The schedule below is a proposed </w:t>
      </w:r>
      <w:r>
        <w:rPr>
          <w:b/>
          <w:bCs/>
        </w:rPr>
        <w:t>quarterly</w:t>
      </w:r>
      <w:r>
        <w:rPr/>
        <w:t xml:space="preserve"> implementation plan derived from the five work packages and scientific objectives in the project proposal. </w:t>
      </w:r>
    </w:p>
    <w:tbl>
      <w:tblPr>
        <w:tblStyle w:val="LightShading-Accent1"/>
        <w:tblW w:w="149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60"/>
        <w:gridCol w:w="1361"/>
        <w:gridCol w:w="1361"/>
        <w:gridCol w:w="1361"/>
        <w:gridCol w:w="1361"/>
        <w:gridCol w:w="1362"/>
        <w:gridCol w:w="1361"/>
        <w:gridCol w:w="1362"/>
        <w:gridCol w:w="1361"/>
        <w:gridCol w:w="1361"/>
        <w:gridCol w:w="1358"/>
      </w:tblGrid>
      <w:tr>
        <w:trPr/>
        <w:tc>
          <w:tcPr>
            <w:tcW w:w="1360"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ID</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Activity / work package</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27 Q1</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Q2</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Q3</w:t>
            </w:r>
          </w:p>
        </w:tc>
        <w:tc>
          <w:tcPr>
            <w:tcW w:w="1362"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Q4</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28 Q1</w:t>
            </w:r>
          </w:p>
        </w:tc>
        <w:tc>
          <w:tcPr>
            <w:tcW w:w="1362"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Q2</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Q3</w:t>
            </w:r>
          </w:p>
        </w:tc>
        <w:tc>
          <w:tcPr>
            <w:tcW w:w="1361"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Q4</w:t>
            </w:r>
          </w:p>
        </w:tc>
        <w:tc>
          <w:tcPr>
            <w:tcW w:w="1358" w:type="dxa"/>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Lead / contribution</w:t>
            </w:r>
          </w:p>
        </w:tc>
      </w:tr>
      <w:tr>
        <w:trPr/>
        <w:tc>
          <w:tcPr>
            <w:tcW w:w="1360"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WP1</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CMSA–LNS framework and baselines</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58"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Joint</w:t>
            </w:r>
          </w:p>
        </w:tc>
      </w:tr>
      <w:tr>
        <w:trPr/>
        <w:tc>
          <w:tcPr>
            <w:tcW w:w="1360" w:type="dxa"/>
            <w:tcBorders>
              <w:top w:val="nil"/>
              <w:bottom w:val="nil"/>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WP2</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Generative models for optimization</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58"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Austria / joint</w:t>
            </w:r>
          </w:p>
        </w:tc>
      </w:tr>
      <w:tr>
        <w:trPr/>
        <w:tc>
          <w:tcPr>
            <w:tcW w:w="1360"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WP3</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LLM-based heuristic synthesis</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58"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Joint</w:t>
            </w:r>
          </w:p>
        </w:tc>
      </w:tr>
      <w:tr>
        <w:trPr/>
        <w:tc>
          <w:tcPr>
            <w:tcW w:w="1360" w:type="dxa"/>
            <w:tcBorders>
              <w:top w:val="nil"/>
              <w:bottom w:val="nil"/>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WP4</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MCS: models and experiments</w:t>
            </w:r>
          </w:p>
        </w:tc>
        <w:tc>
          <w:tcPr>
            <w:tcW w:w="1361" w:type="dxa"/>
            <w:tcBorders>
              <w:top w:val="nil"/>
              <w:bottom w:val="nil"/>
            </w:tcBorders>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bottom w:val="nil"/>
            </w:tcBorders>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bottom w:val="nil"/>
            </w:tcBorders>
            <w:vAlign w:val="center"/>
          </w:tcPr>
          <w:p>
            <w:pPr>
              <w:pStyle w:val="Normal"/>
              <w:widowControl w:val="false"/>
              <w:suppressAutoHyphens w:val="true"/>
              <w:spacing w:lineRule="auto" w:line="240" w:before="0" w:after="0"/>
              <w:jc w:val="left"/>
              <w:rPr>
                <w:sz w:val="14"/>
              </w:rPr>
            </w:pPr>
            <w:r>
              <w:rPr>
                <w:sz w:val="14"/>
              </w:rPr>
            </w:r>
          </w:p>
        </w:tc>
        <w:tc>
          <w:tcPr>
            <w:tcW w:w="1358"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BiH</w:t>
            </w:r>
          </w:p>
        </w:tc>
      </w:tr>
      <w:tr>
        <w:trPr/>
        <w:tc>
          <w:tcPr>
            <w:tcW w:w="1360"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WP5</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DynEADARP: static and dynamic cases</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58" w:type="dxa"/>
            <w:tcBorders>
              <w:top w:val="nil"/>
              <w:bottom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Austria</w:t>
            </w:r>
          </w:p>
        </w:tc>
      </w:tr>
      <w:tr>
        <w:trPr/>
        <w:tc>
          <w:tcPr>
            <w:tcW w:w="1360" w:type="dxa"/>
            <w:tcBorders>
              <w:top w:val="nil"/>
              <w:bottom w:val="nil"/>
            </w:tcBorders>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EVAL</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Evaluation and generalization</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2"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58" w:type="dxa"/>
            <w:tcBorders>
              <w:top w:val="nil"/>
              <w:bottom w:val="nil"/>
            </w:tcBorders>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Joint</w:t>
            </w:r>
          </w:p>
        </w:tc>
      </w:tr>
      <w:tr>
        <w:trPr/>
        <w:tc>
          <w:tcPr>
            <w:tcW w:w="1360"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 w:val="14"/>
                <w:szCs w:val="22"/>
                <w:lang w:val="en-US" w:eastAsia="en-US" w:bidi="ar-SA"/>
              </w:rPr>
              <w:t>OUT</w:t>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Publications and dissemination</w:t>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c>
          <w:tcPr>
            <w:tcW w:w="1362"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62"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sz w:val="14"/>
              </w:rPr>
            </w:pPr>
            <w:r>
              <w:rPr>
                <w:sz w:val="14"/>
              </w:rPr>
            </w:r>
          </w:p>
        </w:tc>
        <w:tc>
          <w:tcPr>
            <w:tcW w:w="1361"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w:t>
            </w:r>
          </w:p>
        </w:tc>
        <w:tc>
          <w:tcPr>
            <w:tcW w:w="1358" w:type="dxa"/>
            <w:tcBorders>
              <w:top w:val="nil"/>
            </w:tcBorders>
            <w:shd w:color="auto" w:fill="D3DFEE" w:themeFill="accent1" w:themeFillTint="3f" w:val="clear"/>
            <w:vAlign w:val="cente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 w:val="14"/>
                <w:szCs w:val="22"/>
                <w:lang w:val="en-US" w:eastAsia="en-US" w:bidi="ar-SA"/>
              </w:rPr>
              <w:t>Joint</w:t>
            </w:r>
          </w:p>
        </w:tc>
      </w:tr>
    </w:tbl>
    <w:p>
      <w:pPr>
        <w:pStyle w:val="Caption1"/>
        <w:rPr/>
      </w:pPr>
      <w:r>
        <w:rPr/>
        <w:t xml:space="preserve">● </w:t>
      </w:r>
      <w:r>
        <w:rPr/>
        <w:t>= indicative period of active work.</w:t>
      </w:r>
    </w:p>
    <w:p>
      <w:pPr>
        <w:pStyle w:val="Heading1"/>
        <w:rPr/>
      </w:pPr>
      <w:r>
        <w:rPr/>
        <w:t>2. Milestones and deliverables</w:t>
      </w:r>
    </w:p>
    <w:p>
      <w:pPr>
        <w:pStyle w:val="Normal"/>
        <w:rPr/>
      </w:pPr>
      <w:r>
        <w:rPr/>
      </w:r>
    </w:p>
    <w:tbl>
      <w:tblPr>
        <w:tblStyle w:val="LightShading-Accent1"/>
        <w:tblW w:w="149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92"/>
        <w:gridCol w:w="4992"/>
        <w:gridCol w:w="4992"/>
      </w:tblGrid>
      <w:tr>
        <w:trPr/>
        <w:tc>
          <w:tcPr>
            <w:tcW w:w="4992"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Target period</w:t>
            </w:r>
          </w:p>
        </w:tc>
        <w:tc>
          <w:tcPr>
            <w:tcW w:w="4992"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Milestone</w:t>
            </w:r>
          </w:p>
        </w:tc>
        <w:tc>
          <w:tcPr>
            <w:tcW w:w="4992"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Proposed result</w:t>
            </w:r>
          </w:p>
        </w:tc>
      </w:tr>
      <w:tr>
        <w:trPr/>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 Q1–Q2</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M1</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Common experimental interfaces, initial CMSA/LNS baselines, benchmark and instance plan.</w:t>
            </w:r>
          </w:p>
        </w:tc>
      </w:tr>
      <w:tr>
        <w:trPr/>
        <w:tc>
          <w:tcPr>
            <w:tcW w:w="4992"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 Q3–Q4</w:t>
            </w:r>
          </w:p>
        </w:tc>
        <w:tc>
          <w:tcPr>
            <w:tcW w:w="499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M2</w:t>
            </w:r>
          </w:p>
        </w:tc>
        <w:tc>
          <w:tcPr>
            <w:tcW w:w="499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Initial generative destroy-set / candidate-generation prototypes; first comparative experiments.</w:t>
            </w:r>
          </w:p>
        </w:tc>
      </w:tr>
      <w:tr>
        <w:trPr/>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 Q4</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M3</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First consolidated experimental results and draft joint scientific contribution.</w:t>
            </w:r>
          </w:p>
        </w:tc>
      </w:tr>
      <w:tr>
        <w:trPr/>
        <w:tc>
          <w:tcPr>
            <w:tcW w:w="4992"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 Q1–Q2</w:t>
            </w:r>
          </w:p>
        </w:tc>
        <w:tc>
          <w:tcPr>
            <w:tcW w:w="499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M4</w:t>
            </w:r>
          </w:p>
        </w:tc>
        <w:tc>
          <w:tcPr>
            <w:tcW w:w="499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Integrated hybrid variants, LLM-assisted operator study, MCS and DynEADARP evaluations.</w:t>
            </w:r>
          </w:p>
        </w:tc>
      </w:tr>
      <w:tr>
        <w:trPr/>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 Q3</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M5</w:t>
            </w:r>
          </w:p>
        </w:tc>
        <w:tc>
          <w:tcPr>
            <w:tcW w:w="499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Cross-problem generalization, ablation and computational-cost analysis; draft publications.</w:t>
            </w:r>
          </w:p>
        </w:tc>
      </w:tr>
      <w:tr>
        <w:trPr/>
        <w:tc>
          <w:tcPr>
            <w:tcW w:w="4992" w:type="dxa"/>
            <w:tcBorders>
              <w:top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 Q4</w:t>
            </w:r>
          </w:p>
        </w:tc>
        <w:tc>
          <w:tcPr>
            <w:tcW w:w="4992" w:type="dxa"/>
            <w:tcBorders>
              <w:top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M6</w:t>
            </w:r>
          </w:p>
        </w:tc>
        <w:tc>
          <w:tcPr>
            <w:tcW w:w="4992" w:type="dxa"/>
            <w:tcBorders>
              <w:top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Final results, documented software components, joint dissemination and project closure.</w:t>
            </w:r>
          </w:p>
        </w:tc>
      </w:tr>
    </w:tbl>
    <w:p>
      <w:pPr>
        <w:pStyle w:val="Normal"/>
        <w:rPr/>
      </w:pPr>
      <w:r>
        <w:rPr/>
        <w:t>The proposal targets at least two joint journal/conference papers.</w:t>
      </w:r>
    </w:p>
    <w:p>
      <w:pPr>
        <w:pStyle w:val="Heading1"/>
        <w:rPr/>
      </w:pPr>
      <w:r>
        <w:rPr/>
        <w:t>3. Research exchange schedule</w:t>
      </w:r>
    </w:p>
    <w:p>
      <w:pPr>
        <w:pStyle w:val="Normal"/>
        <w:rPr/>
      </w:pPr>
      <w:r>
        <w:rPr/>
        <w:t xml:space="preserve">The following table </w:t>
      </w:r>
      <w:r>
        <w:rPr/>
        <w:t>presents</w:t>
      </w:r>
      <w:r>
        <w:rPr/>
        <w:t xml:space="preserve"> the participant-specific day allocations.</w:t>
      </w:r>
    </w:p>
    <w:tbl>
      <w:tblPr>
        <w:tblStyle w:val="LightShading-Accent1"/>
        <w:tblW w:w="149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44"/>
        <w:gridCol w:w="3744"/>
        <w:gridCol w:w="3745"/>
        <w:gridCol w:w="3742"/>
      </w:tblGrid>
      <w:tr>
        <w:trPr/>
        <w:tc>
          <w:tcPr>
            <w:tcW w:w="3744"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Year</w:t>
            </w:r>
          </w:p>
        </w:tc>
        <w:tc>
          <w:tcPr>
            <w:tcW w:w="3744"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Direction</w:t>
            </w:r>
          </w:p>
        </w:tc>
        <w:tc>
          <w:tcPr>
            <w:tcW w:w="3745"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Researcher</w:t>
            </w:r>
          </w:p>
        </w:tc>
        <w:tc>
          <w:tcPr>
            <w:tcW w:w="3742" w:type="dxa"/>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Person-days</w:t>
            </w:r>
          </w:p>
        </w:tc>
      </w:tr>
      <w:tr>
        <w:trPr/>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Austria → BiH</w:t>
            </w:r>
          </w:p>
        </w:tc>
        <w:tc>
          <w:tcPr>
            <w:tcW w:w="3745"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Wustinger</w:t>
            </w:r>
          </w:p>
        </w:tc>
        <w:tc>
          <w:tcPr>
            <w:tcW w:w="374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tc>
      </w:tr>
      <w:tr>
        <w:trPr/>
        <w:tc>
          <w:tcPr>
            <w:tcW w:w="3744"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Austria → BiH</w:t>
            </w:r>
          </w:p>
        </w:tc>
        <w:tc>
          <w:tcPr>
            <w:tcW w:w="3745"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G. Raidl</w:t>
            </w:r>
          </w:p>
        </w:tc>
        <w:tc>
          <w:tcPr>
            <w:tcW w:w="374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Đukanović</w:t>
            </w:r>
          </w:p>
        </w:tc>
        <w:tc>
          <w:tcPr>
            <w:tcW w:w="374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w:t>
            </w:r>
          </w:p>
        </w:tc>
      </w:tr>
      <w:tr>
        <w:trPr/>
        <w:tc>
          <w:tcPr>
            <w:tcW w:w="3744"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T. Zec</w:t>
            </w:r>
          </w:p>
        </w:tc>
        <w:tc>
          <w:tcPr>
            <w:tcW w:w="374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w:t>
            </w:r>
          </w:p>
        </w:tc>
      </w:tr>
      <w:tr>
        <w:trPr/>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 Nikolić</w:t>
            </w:r>
          </w:p>
        </w:tc>
        <w:tc>
          <w:tcPr>
            <w:tcW w:w="374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w:t>
            </w:r>
          </w:p>
        </w:tc>
      </w:tr>
      <w:tr>
        <w:trPr/>
        <w:tc>
          <w:tcPr>
            <w:tcW w:w="3744"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2027</w:t>
            </w:r>
          </w:p>
        </w:tc>
        <w:tc>
          <w:tcPr>
            <w:tcW w:w="3744"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Predojević</w:t>
            </w:r>
          </w:p>
        </w:tc>
        <w:tc>
          <w:tcPr>
            <w:tcW w:w="374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w:t>
            </w:r>
          </w:p>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w:t>
            </w:r>
          </w:p>
        </w:tc>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Austria → BiH</w:t>
            </w:r>
          </w:p>
        </w:tc>
        <w:tc>
          <w:tcPr>
            <w:tcW w:w="3745"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Wustinger</w:t>
            </w:r>
          </w:p>
        </w:tc>
        <w:tc>
          <w:tcPr>
            <w:tcW w:w="374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10</w:t>
            </w:r>
          </w:p>
        </w:tc>
      </w:tr>
      <w:tr>
        <w:trPr/>
        <w:tc>
          <w:tcPr>
            <w:tcW w:w="3744" w:type="dxa"/>
            <w:tcBorders>
              <w:top w:val="nil"/>
              <w:bottom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w:t>
            </w:r>
          </w:p>
        </w:tc>
        <w:tc>
          <w:tcPr>
            <w:tcW w:w="3744"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Austria → BiH</w:t>
            </w:r>
          </w:p>
        </w:tc>
        <w:tc>
          <w:tcPr>
            <w:tcW w:w="3745"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G. Raidl</w:t>
            </w:r>
          </w:p>
        </w:tc>
        <w:tc>
          <w:tcPr>
            <w:tcW w:w="3742" w:type="dxa"/>
            <w:tcBorders>
              <w:top w:val="nil"/>
              <w:bottom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w:t>
            </w:r>
          </w:p>
        </w:tc>
        <w:tc>
          <w:tcPr>
            <w:tcW w:w="3744"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Đukanović</w:t>
            </w:r>
          </w:p>
        </w:tc>
        <w:tc>
          <w:tcPr>
            <w:tcW w:w="3742" w:type="dxa"/>
            <w:tcBorders>
              <w:top w:val="nil"/>
              <w:bottom w:val="nil"/>
            </w:tcBorders>
            <w:shd w:color="auto" w:fill="D3DFEE" w:themeFill="accent1" w:themeFillTint="3f" w:val="clear"/>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tc>
      </w:tr>
      <w:tr>
        <w:trPr/>
        <w:tc>
          <w:tcPr>
            <w:tcW w:w="3744" w:type="dxa"/>
            <w:tcBorders>
              <w:top w:val="nil"/>
            </w:tcBorders>
          </w:tcPr>
          <w:p>
            <w:pPr>
              <w:pStyle w:val="Normal"/>
              <w:widowControl w:val="false"/>
              <w:suppressAutoHyphens w:val="true"/>
              <w:spacing w:lineRule="auto" w:line="240" w:before="0" w:after="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2028</w:t>
            </w:r>
          </w:p>
        </w:tc>
        <w:tc>
          <w:tcPr>
            <w:tcW w:w="3744" w:type="dxa"/>
            <w:tcBorders>
              <w:top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BiH → Austria</w:t>
            </w:r>
          </w:p>
        </w:tc>
        <w:tc>
          <w:tcPr>
            <w:tcW w:w="3745" w:type="dxa"/>
            <w:tcBorders>
              <w:top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M. Predojević</w:t>
            </w:r>
          </w:p>
        </w:tc>
        <w:tc>
          <w:tcPr>
            <w:tcW w:w="3742" w:type="dxa"/>
            <w:tcBorders>
              <w:top w:val="nil"/>
            </w:tcBorders>
          </w:tcPr>
          <w:p>
            <w:pPr>
              <w:pStyle w:val="Normal"/>
              <w:widowControl w:val="false"/>
              <w:suppressAutoHyphens w:val="true"/>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tc>
      </w:tr>
    </w:tbl>
    <w:p>
      <w:pPr>
        <w:pStyle w:val="Normal"/>
        <w:rPr/>
      </w:pPr>
      <w:r>
        <w:rPr/>
        <w:t>Total planned mobility: 2027 –</w:t>
      </w:r>
      <w:r>
        <w:rPr>
          <w:b/>
          <w:bCs/>
        </w:rPr>
        <w:t xml:space="preserve"> 22 person-days</w:t>
      </w:r>
      <w:r>
        <w:rPr/>
        <w:t xml:space="preserve"> (</w:t>
      </w:r>
      <w:r>
        <w:rPr>
          <w:b/>
          <w:bCs/>
        </w:rPr>
        <w:t>10</w:t>
      </w:r>
      <w:r>
        <w:rPr/>
        <w:t xml:space="preserve"> Austria → BiH; </w:t>
      </w:r>
      <w:r>
        <w:rPr>
          <w:b/>
          <w:bCs/>
        </w:rPr>
        <w:t>12</w:t>
      </w:r>
      <w:r>
        <w:rPr/>
        <w:t xml:space="preserve"> BiH → Austria); 2028 – </w:t>
      </w:r>
      <w:r>
        <w:rPr>
          <w:b/>
          <w:bCs/>
        </w:rPr>
        <w:t>25 person-days</w:t>
      </w:r>
      <w:r>
        <w:rPr/>
        <w:t xml:space="preserve"> (</w:t>
      </w:r>
      <w:r>
        <w:rPr>
          <w:b/>
          <w:bCs/>
        </w:rPr>
        <w:t>15</w:t>
      </w:r>
      <w:r>
        <w:rPr/>
        <w:t xml:space="preserve"> Austria → BiH; </w:t>
      </w:r>
      <w:r>
        <w:rPr>
          <w:b/>
          <w:bCs/>
        </w:rPr>
        <w:t>10</w:t>
      </w:r>
      <w:r>
        <w:rPr/>
        <w:t xml:space="preserve"> BiH → Austria). </w:t>
      </w:r>
    </w:p>
    <w:p>
      <w:pPr>
        <w:pStyle w:val="Normal"/>
        <w:rPr>
          <w:b/>
          <w:b/>
          <w:bCs/>
        </w:rPr>
      </w:pPr>
      <w:r>
        <w:rPr>
          <w:b/>
          <w:bCs/>
        </w:rPr>
        <w:t>Grand total: 47 person-days.</w:t>
      </w:r>
    </w:p>
    <w:p>
      <w:pPr>
        <w:pStyle w:val="Heading1"/>
        <w:rPr/>
      </w:pPr>
      <w:r>
        <w:rPr/>
        <w:t>4. Indicative sequencing of mobility and joint work</w:t>
      </w:r>
    </w:p>
    <w:p>
      <w:pPr>
        <w:pStyle w:val="ListBullet"/>
        <w:numPr>
          <w:ilvl w:val="0"/>
          <w:numId w:val="1"/>
        </w:numPr>
        <w:rPr/>
      </w:pPr>
      <w:r>
        <w:rPr/>
        <w:t>2027, early phase: Austrian researchers visit BiH to align research objectives, implementation interfaces, datasets and division of responsibilities.</w:t>
      </w:r>
    </w:p>
    <w:p>
      <w:pPr>
        <w:pStyle w:val="ListBullet"/>
        <w:numPr>
          <w:ilvl w:val="0"/>
          <w:numId w:val="1"/>
        </w:numPr>
        <w:rPr/>
      </w:pPr>
      <w:r>
        <w:rPr/>
        <w:t>2027, middle or late phase: BiH researchers visit Austria for integration work, computational experiments and research coordination.</w:t>
      </w:r>
    </w:p>
    <w:p>
      <w:pPr>
        <w:pStyle w:val="ListBullet"/>
        <w:numPr>
          <w:ilvl w:val="0"/>
          <w:numId w:val="1"/>
        </w:numPr>
        <w:rPr/>
      </w:pPr>
      <w:r>
        <w:rPr/>
        <w:t>2028, first phase: Austrian partner visits BiH for review of progress, further algorithm development and experimental planning.</w:t>
      </w:r>
    </w:p>
    <w:p>
      <w:pPr>
        <w:pStyle w:val="ListBullet"/>
        <w:numPr>
          <w:ilvl w:val="0"/>
          <w:numId w:val="1"/>
        </w:numPr>
        <w:rPr/>
      </w:pPr>
      <w:r>
        <w:rPr/>
        <w:t>2028, later phase: BiH team visits Austria to present results and finalize joint contributions.</w:t>
      </w:r>
    </w:p>
    <w:p>
      <w:pPr>
        <w:pStyle w:val="ListBullet"/>
        <w:numPr>
          <w:ilvl w:val="0"/>
          <w:numId w:val="1"/>
        </w:numPr>
        <w:rPr/>
      </w:pPr>
      <w:r>
        <w:rPr/>
        <w:t>2028, year-end (stated in exchange plan): presenting final results and concluding activities (online).</w:t>
      </w:r>
    </w:p>
    <w:p>
      <w:pPr>
        <w:pStyle w:val="Heading1"/>
        <w:rPr/>
      </w:pPr>
      <w:r>
        <w:rPr/>
        <w:t>5. Points requiring confirmation</w:t>
      </w:r>
    </w:p>
    <w:p>
      <w:pPr>
        <w:pStyle w:val="Normal"/>
        <w:widowControl/>
        <w:bidi w:val="0"/>
        <w:spacing w:lineRule="auto" w:line="276" w:before="0" w:after="200"/>
        <w:jc w:val="left"/>
        <w:rPr/>
      </w:pPr>
      <w:r>
        <w:rPr/>
        <w:t>The 2027 BiH → Austria narrative says four researchers will visit for five working days, whereas the individual allocations list three days per person. This document uses the individual allocations (3 × 4 = 12 person-days) pending confirmation. In 2028, two Austria → BiH visits are described, but the allocations are 10 days for M. Wustinger and 5 days for G. Raidl; the exact assignment of researchers to each visit is not specified. Also, the exchange plan includes M. Predojević, who is not among the six researchers listed in the previously supplied project-task document. The team roster should be reconciled before submission.</w:t>
      </w:r>
    </w:p>
    <w:sectPr>
      <w:footerReference w:type="default" r:id="rId2"/>
      <w:type w:val="nextPage"/>
      <w:pgSz w:orient="landscape" w:w="16838" w:h="11952"/>
      <w:pgMar w:left="936" w:right="936"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Bilateral research project | Proposed work plan | 2027–2028</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334B"/>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8334B"/>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8334B"/>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3</Pages>
  <Words>567</Words>
  <Characters>3091</Characters>
  <CharactersWithSpaces>3507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2026-10-23T00:50:16Z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