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/>
          <w:b/>
          <w:bCs/>
          <w:lang w:val="en-GB"/>
        </w:rPr>
      </w:pPr>
      <w:r>
        <w:rPr>
          <w:b/>
          <w:bCs/>
          <w:lang w:val="en-GB"/>
        </w:rPr>
        <w:t>TEMPLTE FORMATING and WPs:</w:t>
      </w:r>
    </w:p>
    <w:p>
      <w:pPr>
        <w:pStyle w:val="Normal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Formatting:</w:t>
      </w:r>
      <w:r>
        <w:rPr>
          <w:lang w:val="en-GB"/>
        </w:rPr>
        <w:t xml:space="preserve"> Times New Roman 11pt, single spacing.</w:t>
      </w:r>
    </w:p>
    <w:p>
      <w:pPr>
        <w:pStyle w:val="Normal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Average Words per Page:</w:t>
      </w:r>
      <w:r>
        <w:rPr>
          <w:lang w:val="en-GB"/>
        </w:rPr>
        <w:t xml:space="preserve"> ~450–500 words (allowing space for headings, white space, and figures).</w:t>
      </w:r>
    </w:p>
    <w:p>
      <w:pPr>
        <w:pStyle w:val="Normal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Total Word Budget (22 Pages):</w:t>
      </w:r>
      <w:r>
        <w:rPr>
          <w:lang w:val="en-GB"/>
        </w:rPr>
        <w:t xml:space="preserve"> ~10,000 words maximum (if text-only).</w:t>
      </w:r>
    </w:p>
    <w:p>
      <w:pPr>
        <w:pStyle w:val="Normal"/>
        <w:numPr>
          <w:ilvl w:val="0"/>
          <w:numId w:val="1"/>
        </w:numPr>
        <w:rPr>
          <w:lang w:val="en-GB"/>
        </w:rPr>
      </w:pPr>
      <w:r>
        <w:rPr>
          <w:b/>
          <w:bCs/>
          <w:lang w:val="en-GB"/>
        </w:rPr>
        <w:t>Realistic Narrative Budget:</w:t>
      </w:r>
      <w:r>
        <w:rPr>
          <w:lang w:val="en-GB"/>
        </w:rPr>
        <w:t xml:space="preserve"> ~7,000–8,000 words.</w:t>
      </w:r>
    </w:p>
    <w:p>
      <w:pPr>
        <w:pStyle w:val="Normal"/>
        <w:numPr>
          <w:ilvl w:val="1"/>
          <w:numId w:val="1"/>
        </w:numPr>
        <w:rPr>
          <w:lang w:val="en-GB"/>
        </w:rPr>
      </w:pPr>
      <w:r>
        <w:rPr>
          <w:i/>
          <w:iCs/>
          <w:lang w:val="en-GB"/>
        </w:rPr>
        <w:t>Reason:</w:t>
      </w:r>
      <w:r>
        <w:rPr>
          <w:lang w:val="en-GB"/>
        </w:rPr>
        <w:t xml:space="preserve"> Section 3 requires </w:t>
      </w:r>
      <w:r>
        <w:rPr>
          <w:b/>
          <w:bCs/>
          <w:lang w:val="en-GB"/>
        </w:rPr>
        <w:t>8 mandatory tables</w:t>
      </w:r>
      <w:r>
        <w:rPr>
          <w:lang w:val="en-GB"/>
        </w:rPr>
        <w:t xml:space="preserve"> (3.1a to 3.1h) which consume significant page space (estimated 5–7 pages) but contain fewer words. This leaves approximately </w:t>
      </w:r>
      <w:r>
        <w:rPr>
          <w:b/>
          <w:bCs/>
          <w:lang w:val="en-GB"/>
        </w:rPr>
        <w:t>15–17 pages for narrative text</w:t>
      </w:r>
      <w:r>
        <w:rPr>
          <w:lang w:val="en-GB"/>
        </w:rPr>
        <w:t>.</w:t>
      </w:r>
    </w:p>
    <w:p>
      <w:pPr>
        <w:pStyle w:val="Normal"/>
        <w:rPr>
          <w:lang w:val="en-GB"/>
        </w:rPr>
      </w:pPr>
      <w:r>
        <w:rPr/>
        <mc:AlternateContent>
          <mc:Choice Requires="wps">
            <w:drawing>
              <wp:inline distT="0" distB="0" distL="0" distR="0">
                <wp:extent cx="576072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0" name=""/>
                        <wps:cNvSpPr/>
                      </wps:nvSpPr>
                      <wps:spPr>
                        <a:xfrm>
                          <a:off x="0" y="0"/>
                          <a:ext cx="576072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1.55pt;width:453.55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rPr>
          <w:b/>
          <w:b/>
          <w:bCs/>
          <w:lang w:val="en-GB"/>
        </w:rPr>
      </w:pPr>
      <w:r>
        <w:rPr>
          <w:b/>
          <w:bCs/>
          <w:lang w:val="en-GB"/>
        </w:rPr>
        <w:t>Recommended Word Count by Section</w:t>
      </w:r>
    </w:p>
    <w:p>
      <w:pPr>
        <w:pStyle w:val="Normal"/>
        <w:rPr>
          <w:b/>
          <w:b/>
          <w:bCs/>
          <w:lang w:val="en-GB"/>
        </w:rPr>
      </w:pPr>
      <w:r>
        <w:rPr>
          <w:b/>
          <w:bCs/>
          <w:lang w:val="en-GB"/>
        </w:rPr>
        <w:t>1. Excellence (Section 1)</w:t>
      </w:r>
    </w:p>
    <w:p>
      <w:pPr>
        <w:pStyle w:val="Normal"/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Recommended Length: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3,500 – 4,000 words</w:t>
      </w:r>
    </w:p>
    <w:p>
      <w:pPr>
        <w:pStyle w:val="Normal"/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Page Allocation:</w:t>
      </w:r>
      <w:r>
        <w:rPr>
          <w:lang w:val="en-GB"/>
        </w:rPr>
        <w:t xml:space="preserve"> ~8–9 pages</w:t>
      </w:r>
    </w:p>
    <w:p>
      <w:pPr>
        <w:pStyle w:val="Normal"/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Reasoning:</w:t>
      </w:r>
      <w:r>
        <w:rPr>
          <w:lang w:val="en-GB"/>
        </w:rPr>
        <w:t xml:space="preserve"> This section typically carries the highest evaluation weight. The document lists extensive mandatory requirements here, including </w:t>
      </w:r>
      <w:r>
        <w:rPr>
          <w:b/>
          <w:bCs/>
          <w:lang w:val="en-GB"/>
        </w:rPr>
        <w:t>Gender Dimension</w:t>
      </w:r>
      <w:r>
        <w:rPr>
          <w:lang w:val="en-GB"/>
        </w:rPr>
        <w:t xml:space="preserve">, </w:t>
      </w:r>
      <w:r>
        <w:rPr>
          <w:b/>
          <w:bCs/>
          <w:lang w:val="en-GB"/>
        </w:rPr>
        <w:t>Open Science Practices</w:t>
      </w:r>
      <w:r>
        <w:rPr>
          <w:lang w:val="en-GB"/>
        </w:rPr>
        <w:t xml:space="preserve">, </w:t>
      </w:r>
      <w:r>
        <w:rPr>
          <w:b/>
          <w:bCs/>
          <w:lang w:val="en-GB"/>
        </w:rPr>
        <w:t>AI robustness</w:t>
      </w:r>
      <w:r>
        <w:rPr>
          <w:lang w:val="en-GB"/>
        </w:rPr>
        <w:t xml:space="preserve"> (if applicable), and </w:t>
      </w:r>
      <w:r>
        <w:rPr>
          <w:b/>
          <w:bCs/>
          <w:lang w:val="en-GB"/>
        </w:rPr>
        <w:t>Do No Significant Harm</w:t>
      </w:r>
      <w:r>
        <w:rPr>
          <w:lang w:val="en-GB"/>
        </w:rPr>
        <w:t>. These require detailed narrative explanation.</w:t>
      </w:r>
    </w:p>
    <w:p>
      <w:pPr>
        <w:pStyle w:val="Normal"/>
        <w:numPr>
          <w:ilvl w:val="0"/>
          <w:numId w:val="2"/>
        </w:numPr>
        <w:rPr>
          <w:lang w:val="en-GB"/>
        </w:rPr>
      </w:pPr>
      <w:r>
        <w:rPr>
          <w:b/>
          <w:bCs/>
          <w:lang w:val="en-GB"/>
        </w:rPr>
        <w:t>Subsection Breakdown:</w:t>
      </w:r>
    </w:p>
    <w:p>
      <w:pPr>
        <w:pStyle w:val="Normal"/>
        <w:numPr>
          <w:ilvl w:val="1"/>
          <w:numId w:val="2"/>
        </w:numPr>
        <w:rPr>
          <w:lang w:val="en-GB"/>
        </w:rPr>
      </w:pPr>
      <w:r>
        <w:rPr>
          <w:b/>
          <w:bCs/>
          <w:lang w:val="en-GB"/>
        </w:rPr>
        <w:t>1.1 Long-term vision:</w:t>
      </w:r>
      <w:r>
        <w:rPr>
          <w:lang w:val="en-GB"/>
        </w:rPr>
        <w:t xml:space="preserve"> ~800 words</w:t>
      </w:r>
    </w:p>
    <w:p>
      <w:pPr>
        <w:pStyle w:val="Normal"/>
        <w:numPr>
          <w:ilvl w:val="1"/>
          <w:numId w:val="2"/>
        </w:numPr>
        <w:rPr>
          <w:lang w:val="en-GB"/>
        </w:rPr>
      </w:pPr>
      <w:r>
        <w:rPr>
          <w:b/>
          <w:bCs/>
          <w:lang w:val="en-GB"/>
        </w:rPr>
        <w:t>1.2 Science-towards-technology breakthrough:</w:t>
      </w:r>
      <w:r>
        <w:rPr>
          <w:lang w:val="en-GB"/>
        </w:rPr>
        <w:t xml:space="preserve"> ~1,000 words (Needs detailed state-of-the-art comparison)</w:t>
      </w:r>
    </w:p>
    <w:p>
      <w:pPr>
        <w:pStyle w:val="Normal"/>
        <w:numPr>
          <w:ilvl w:val="1"/>
          <w:numId w:val="2"/>
        </w:numPr>
        <w:rPr>
          <w:lang w:val="en-GB"/>
        </w:rPr>
      </w:pPr>
      <w:r>
        <w:rPr>
          <w:b/>
          <w:bCs/>
          <w:lang w:val="en-GB"/>
        </w:rPr>
        <w:t>1.3 Objectives:</w:t>
      </w:r>
      <w:r>
        <w:rPr>
          <w:lang w:val="en-GB"/>
        </w:rPr>
        <w:t xml:space="preserve"> ~1,500 words (Includes methodology, gender, open science, AI, ethics)</w:t>
      </w:r>
    </w:p>
    <w:p>
      <w:pPr>
        <w:pStyle w:val="Normal"/>
        <w:numPr>
          <w:ilvl w:val="1"/>
          <w:numId w:val="2"/>
        </w:numPr>
        <w:rPr>
          <w:lang w:val="en-GB"/>
        </w:rPr>
      </w:pPr>
      <w:r>
        <w:rPr>
          <w:b/>
          <w:bCs/>
          <w:lang w:val="en-GB"/>
        </w:rPr>
        <w:t>1.4 Interdisciplinarity:</w:t>
      </w:r>
      <w:r>
        <w:rPr>
          <w:lang w:val="en-GB"/>
        </w:rPr>
        <w:t xml:space="preserve"> ~700 words</w:t>
      </w:r>
    </w:p>
    <w:p>
      <w:pPr>
        <w:pStyle w:val="Normal"/>
        <w:rPr>
          <w:b/>
          <w:b/>
          <w:bCs/>
          <w:lang w:val="en-GB"/>
        </w:rPr>
      </w:pPr>
      <w:r>
        <w:rPr>
          <w:b/>
          <w:bCs/>
          <w:lang w:val="en-GB"/>
        </w:rPr>
        <w:t>2. Impact (Section 2)</w:t>
      </w:r>
    </w:p>
    <w:p>
      <w:pPr>
        <w:pStyle w:val="Normal"/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Recommended Length: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2,000 – 2,500 words</w:t>
      </w:r>
    </w:p>
    <w:p>
      <w:pPr>
        <w:pStyle w:val="Normal"/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Page Allocation:</w:t>
      </w:r>
      <w:r>
        <w:rPr>
          <w:lang w:val="en-GB"/>
        </w:rPr>
        <w:t xml:space="preserve"> ~5–6 pages</w:t>
      </w:r>
    </w:p>
    <w:p>
      <w:pPr>
        <w:pStyle w:val="Normal"/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Reasoning:</w:t>
      </w:r>
      <w:r>
        <w:rPr>
          <w:lang w:val="en-GB"/>
        </w:rPr>
        <w:t xml:space="preserve"> This section requires concrete measures for dissemination, exploitation, and communication. It needs to be specific but concise to save space for Excellence.</w:t>
      </w:r>
    </w:p>
    <w:p>
      <w:pPr>
        <w:pStyle w:val="Normal"/>
        <w:numPr>
          <w:ilvl w:val="0"/>
          <w:numId w:val="3"/>
        </w:numPr>
        <w:rPr>
          <w:lang w:val="en-GB"/>
        </w:rPr>
      </w:pPr>
      <w:r>
        <w:rPr>
          <w:b/>
          <w:bCs/>
          <w:lang w:val="en-GB"/>
        </w:rPr>
        <w:t>Subsection Breakdown:</w:t>
      </w:r>
    </w:p>
    <w:p>
      <w:pPr>
        <w:pStyle w:val="Normal"/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>2.1 Long-term impact:</w:t>
      </w:r>
      <w:r>
        <w:rPr>
          <w:lang w:val="en-GB"/>
        </w:rPr>
        <w:t xml:space="preserve"> ~1,000 words (Focus on transformative effects and barriers)</w:t>
      </w:r>
    </w:p>
    <w:p>
      <w:pPr>
        <w:pStyle w:val="Normal"/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>2.2 Innovation potential:</w:t>
      </w:r>
      <w:r>
        <w:rPr>
          <w:lang w:val="en-GB"/>
        </w:rPr>
        <w:t xml:space="preserve"> ~800 words (IP, commercialisation path, exploitation measures)</w:t>
      </w:r>
    </w:p>
    <w:p>
      <w:pPr>
        <w:pStyle w:val="Normal"/>
        <w:numPr>
          <w:ilvl w:val="1"/>
          <w:numId w:val="3"/>
        </w:numPr>
        <w:rPr>
          <w:lang w:val="en-GB"/>
        </w:rPr>
      </w:pPr>
      <w:r>
        <w:rPr>
          <w:b/>
          <w:bCs/>
          <w:lang w:val="en-GB"/>
        </w:rPr>
        <w:t>2.3 Communication and Dissemination:</w:t>
      </w:r>
      <w:r>
        <w:rPr>
          <w:lang w:val="en-GB"/>
        </w:rPr>
        <w:t xml:space="preserve"> ~700 words (Target groups, channels, metrics)</w:t>
      </w:r>
    </w:p>
    <w:p>
      <w:pPr>
        <w:pStyle w:val="Normal"/>
        <w:rPr>
          <w:b/>
          <w:b/>
          <w:bCs/>
          <w:lang w:val="en-GB"/>
        </w:rPr>
      </w:pPr>
      <w:r>
        <w:rPr>
          <w:b/>
          <w:bCs/>
          <w:lang w:val="en-GB"/>
        </w:rPr>
        <w:t>3. Implementation (Section 3)</w:t>
      </w:r>
    </w:p>
    <w:p>
      <w:pPr>
        <w:pStyle w:val="Normal"/>
        <w:numPr>
          <w:ilvl w:val="0"/>
          <w:numId w:val="4"/>
        </w:numPr>
        <w:rPr>
          <w:lang w:val="en-GB"/>
        </w:rPr>
      </w:pPr>
      <w:r>
        <w:rPr>
          <w:b/>
          <w:bCs/>
          <w:lang w:val="en-GB"/>
        </w:rPr>
        <w:t>Recommended Length: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1,500 – 2,000 words (Narrative Only)</w:t>
      </w:r>
    </w:p>
    <w:p>
      <w:pPr>
        <w:pStyle w:val="Normal"/>
        <w:numPr>
          <w:ilvl w:val="0"/>
          <w:numId w:val="4"/>
        </w:numPr>
        <w:rPr>
          <w:lang w:val="en-GB"/>
        </w:rPr>
      </w:pPr>
      <w:r>
        <w:rPr>
          <w:b/>
          <w:bCs/>
          <w:lang w:val="en-GB"/>
        </w:rPr>
        <w:t>Page Allocation:</w:t>
      </w:r>
      <w:r>
        <w:rPr>
          <w:lang w:val="en-GB"/>
        </w:rPr>
        <w:t xml:space="preserve"> ~7–8 pages </w:t>
      </w:r>
      <w:r>
        <w:rPr>
          <w:b/>
          <w:bCs/>
          <w:lang w:val="en-GB"/>
        </w:rPr>
        <w:t>Total</w:t>
      </w:r>
      <w:r>
        <w:rPr>
          <w:lang w:val="en-GB"/>
        </w:rPr>
        <w:t xml:space="preserve"> (including mandatory tables)</w:t>
      </w:r>
    </w:p>
    <w:p>
      <w:pPr>
        <w:pStyle w:val="Normal"/>
        <w:numPr>
          <w:ilvl w:val="0"/>
          <w:numId w:val="4"/>
        </w:numPr>
        <w:rPr>
          <w:lang w:val="en-GB"/>
        </w:rPr>
      </w:pPr>
      <w:r>
        <w:rPr>
          <w:b/>
          <w:bCs/>
          <w:lang w:val="en-GB"/>
        </w:rPr>
        <w:t>Reasoning:</w:t>
      </w:r>
      <w:r>
        <w:rPr>
          <w:lang w:val="en-GB"/>
        </w:rPr>
        <w:t xml:space="preserve"> The narrative here should be brief because the </w:t>
      </w:r>
      <w:r>
        <w:rPr>
          <w:b/>
          <w:bCs/>
          <w:lang w:val="en-GB"/>
        </w:rPr>
        <w:t>mandatory tables (3.1a–3.1h)</w:t>
      </w:r>
      <w:r>
        <w:rPr>
          <w:lang w:val="en-GB"/>
        </w:rPr>
        <w:t xml:space="preserve"> will consume most of the page allowance for this section. Do not write long text descriptions for work packages if the tables already capture the detail.</w:t>
      </w:r>
    </w:p>
    <w:p>
      <w:pPr>
        <w:pStyle w:val="Normal"/>
        <w:numPr>
          <w:ilvl w:val="0"/>
          <w:numId w:val="4"/>
        </w:numPr>
        <w:rPr>
          <w:lang w:val="en-GB"/>
        </w:rPr>
      </w:pPr>
      <w:r>
        <w:rPr>
          <w:b/>
          <w:bCs/>
          <w:lang w:val="en-GB"/>
        </w:rPr>
        <w:t>Subsection Breakdown:</w:t>
      </w:r>
    </w:p>
    <w:p>
      <w:pPr>
        <w:pStyle w:val="Normal"/>
        <w:numPr>
          <w:ilvl w:val="1"/>
          <w:numId w:val="4"/>
        </w:numPr>
        <w:rPr>
          <w:lang w:val="en-GB"/>
        </w:rPr>
      </w:pPr>
      <w:r>
        <w:rPr>
          <w:b/>
          <w:bCs/>
          <w:lang w:val="en-GB"/>
        </w:rPr>
        <w:t>3.1 Work plan and allocation of resources:</w:t>
      </w:r>
      <w:r>
        <w:rPr>
          <w:lang w:val="en-GB"/>
        </w:rPr>
        <w:t xml:space="preserve"> ~800 words (Brief overview; let the tables show the detail)</w:t>
      </w:r>
    </w:p>
    <w:p>
      <w:pPr>
        <w:pStyle w:val="Normal"/>
        <w:numPr>
          <w:ilvl w:val="1"/>
          <w:numId w:val="4"/>
        </w:numPr>
        <w:rPr>
          <w:lang w:val="en-GB"/>
        </w:rPr>
      </w:pPr>
      <w:r>
        <w:rPr>
          <w:b/>
          <w:bCs/>
          <w:lang w:val="en-GB"/>
        </w:rPr>
        <w:t>3.2 Quality of the consortium:</w:t>
      </w:r>
      <w:r>
        <w:rPr>
          <w:lang w:val="en-GB"/>
        </w:rPr>
        <w:t xml:space="preserve"> ~1,000 words (Focus on complementary expertise and infrastructure)</w:t>
      </w:r>
    </w:p>
    <w:p>
      <w:pPr>
        <w:pStyle w:val="Normal"/>
        <w:numPr>
          <w:ilvl w:val="1"/>
          <w:numId w:val="4"/>
        </w:numPr>
        <w:rPr>
          <w:lang w:val="en-GB"/>
        </w:rPr>
      </w:pPr>
      <w:r>
        <w:rPr>
          <w:b/>
          <w:bCs/>
          <w:lang w:val="en-GB"/>
        </w:rPr>
        <w:t>Tables 3.1a–3.1h:</w:t>
      </w:r>
      <w:r>
        <w:rPr>
          <w:lang w:val="en-GB"/>
        </w:rPr>
        <w:t xml:space="preserve"> </w:t>
      </w:r>
      <w:r>
        <w:rPr>
          <w:b/>
          <w:bCs/>
          <w:lang w:val="en-GB"/>
        </w:rPr>
        <w:t>No word count</w:t>
      </w:r>
      <w:r>
        <w:rPr>
          <w:lang w:val="en-GB"/>
        </w:rPr>
        <w:t xml:space="preserve"> (Fill strictly as required; these will take up ~5–6 pages of your 22-page limit).</w:t>
      </w:r>
    </w:p>
    <w:p>
      <w:pPr>
        <w:pStyle w:val="Normal"/>
        <w:rPr/>
      </w:pPr>
      <w:r>
        <w:rPr/>
      </w:r>
    </w:p>
    <w:p>
      <w:pPr>
        <w:pStyle w:val="Normal"/>
        <w:rPr>
          <w:lang w:val="en-GB"/>
        </w:rPr>
      </w:pPr>
      <w:r>
        <w:rPr>
          <w:b/>
          <w:bCs/>
          <w:lang w:val="en-GB"/>
        </w:rPr>
        <w:t>Work plan and allocation of resources)</w:t>
      </w:r>
      <w:r>
        <w:rPr>
          <w:lang w:val="en-GB"/>
        </w:rPr>
        <w:t xml:space="preserve">, specifically within </w:t>
      </w:r>
      <w:r>
        <w:rPr>
          <w:b/>
          <w:bCs/>
          <w:lang w:val="en-GB"/>
        </w:rPr>
        <w:t>Table 3.1b: Work package description</w:t>
      </w:r>
      <w:r>
        <w:rPr>
          <w:lang w:val="en-GB"/>
        </w:rPr>
        <w:t>.</w:t>
      </w:r>
    </w:p>
    <w:tbl>
      <w:tblPr>
        <w:tblW w:w="9069" w:type="dxa"/>
        <w:jc w:val="left"/>
        <w:tblInd w:w="0" w:type="dxa"/>
        <w:tblLayout w:type="fixed"/>
        <w:tblCellMar>
          <w:top w:w="0" w:type="dxa"/>
          <w:left w:w="2" w:type="dxa"/>
          <w:bottom w:w="0" w:type="dxa"/>
          <w:right w:w="5" w:type="dxa"/>
        </w:tblCellMar>
        <w:tblLook w:val="04a0" w:noHBand="0" w:noVBand="1" w:firstColumn="1" w:lastRow="0" w:lastColumn="0" w:firstRow="1"/>
      </w:tblPr>
      <w:tblGrid>
        <w:gridCol w:w="3396"/>
        <w:gridCol w:w="1991"/>
        <w:gridCol w:w="3682"/>
      </w:tblGrid>
      <w:tr>
        <w:trPr>
          <w:tblHeader w:val="true"/>
        </w:trPr>
        <w:tc>
          <w:tcPr>
            <w:tcW w:w="339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color="auto" w:fill="F7F8FC" w:val="clear"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Work Package Type</w:t>
            </w:r>
          </w:p>
        </w:tc>
        <w:tc>
          <w:tcPr>
            <w:tcW w:w="199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color="auto" w:fill="F7F8FC" w:val="clear"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Recommended Word Count</w:t>
            </w:r>
          </w:p>
        </w:tc>
        <w:tc>
          <w:tcPr>
            <w:tcW w:w="368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</w:tcBorders>
            <w:shd w:color="auto" w:fill="F7F8FC" w:val="clear"/>
            <w:vAlign w:val="center"/>
          </w:tcPr>
          <w:p>
            <w:pPr>
              <w:pStyle w:val="Normal"/>
              <w:widowControl w:val="false"/>
              <w:spacing w:before="0" w:after="160"/>
              <w:rPr>
                <w:b/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</w:tr>
      <w:tr>
        <w:trPr/>
        <w:tc>
          <w:tcPr>
            <w:tcW w:w="339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WP1 (Management)</w:t>
            </w:r>
          </w:p>
        </w:tc>
        <w:tc>
          <w:tcPr>
            <w:tcW w:w="199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200 – 250 words</w:t>
            </w:r>
          </w:p>
        </w:tc>
        <w:tc>
          <w:tcPr>
            <w:tcW w:w="368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Focus on coordination, decision-making, risk management, and reporting. Keep brief as it is administrative.</w:t>
            </w:r>
          </w:p>
        </w:tc>
      </w:tr>
      <w:tr>
        <w:trPr>
          <w:trHeight w:val="383" w:hRule="atLeast"/>
        </w:trPr>
        <w:tc>
          <w:tcPr>
            <w:tcW w:w="339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Technical WPs (e.g., WP2, WP3, WP4)</w:t>
            </w:r>
          </w:p>
        </w:tc>
        <w:tc>
          <w:tcPr>
            <w:tcW w:w="199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300 – 400 words each</w:t>
            </w:r>
          </w:p>
        </w:tc>
        <w:tc>
          <w:tcPr>
            <w:tcW w:w="368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Focus on specific tasks, quantifiable outputs, and scientific methodology. This is where most detail is needed.</w:t>
            </w:r>
          </w:p>
        </w:tc>
      </w:tr>
      <w:tr>
        <w:trPr/>
        <w:tc>
          <w:tcPr>
            <w:tcW w:w="3396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Final WP (Dissemination/Exploitation)</w:t>
            </w:r>
          </w:p>
        </w:tc>
        <w:tc>
          <w:tcPr>
            <w:tcW w:w="1991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  <w:right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250 – 300 words</w:t>
            </w:r>
          </w:p>
        </w:tc>
        <w:tc>
          <w:tcPr>
            <w:tcW w:w="3682" w:type="dxa"/>
            <w:tcBorders>
              <w:top w:val="single" w:sz="2" w:space="0" w:color="E3E3E3"/>
              <w:left w:val="single" w:sz="2" w:space="0" w:color="E3E3E3"/>
              <w:bottom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/>
              <w:t>Focus on communication channels, target audiences, and exploitation measures (link to Section 2).</w:t>
            </w:r>
          </w:p>
        </w:tc>
      </w:tr>
      <w:tr>
        <w:trPr/>
        <w:tc>
          <w:tcPr>
            <w:tcW w:w="3396" w:type="dxa"/>
            <w:tcBorders>
              <w:top w:val="single" w:sz="2" w:space="0" w:color="E3E3E3"/>
              <w:left w:val="single" w:sz="2" w:space="0" w:color="E3E3E3"/>
              <w:right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Total for Table 3.1b</w:t>
            </w:r>
          </w:p>
        </w:tc>
        <w:tc>
          <w:tcPr>
            <w:tcW w:w="1991" w:type="dxa"/>
            <w:tcBorders>
              <w:top w:val="single" w:sz="2" w:space="0" w:color="E3E3E3"/>
              <w:left w:val="single" w:sz="2" w:space="0" w:color="E3E3E3"/>
              <w:right w:val="single" w:sz="4" w:space="0" w:color="E1E3EA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~1,500 – 2,000 words</w:t>
            </w:r>
          </w:p>
        </w:tc>
        <w:tc>
          <w:tcPr>
            <w:tcW w:w="3682" w:type="dxa"/>
            <w:tcBorders>
              <w:top w:val="single" w:sz="2" w:space="0" w:color="E3E3E3"/>
              <w:left w:val="single" w:sz="2" w:space="0" w:color="E3E3E3"/>
            </w:tcBorders>
            <w:shd w:color="auto" w:fill="FFFFFF" w:val="clear"/>
            <w:vAlign w:val="center"/>
          </w:tcPr>
          <w:p>
            <w:pPr>
              <w:pStyle w:val="Normal"/>
              <w:widowControl w:val="false"/>
              <w:spacing w:before="0" w:after="160"/>
              <w:rPr/>
            </w:pPr>
            <w:r>
              <w:rPr>
                <w:b/>
                <w:bCs/>
              </w:rPr>
              <w:t>Total for all WPs combined.</w:t>
            </w:r>
          </w:p>
        </w:tc>
      </w:tr>
    </w:tbl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WP1 - Project management (Žiga &amp; all)</w:t>
      </w:r>
    </w:p>
    <w:p>
      <w:pPr>
        <w:pStyle w:val="Normal"/>
        <w:rPr>
          <w:lang w:val="en-GB"/>
        </w:rPr>
      </w:pPr>
      <w:r>
        <w:rPr>
          <w:lang w:val="en-GB"/>
        </w:rPr>
        <w:t>WP2 - Workflow &amp; data orchestration (Teo &amp; Samo)</w:t>
      </w:r>
    </w:p>
    <w:p>
      <w:pPr>
        <w:pStyle w:val="Normal"/>
        <w:rPr>
          <w:lang w:val="en-GB"/>
        </w:rPr>
      </w:pPr>
      <w:r>
        <w:rPr>
          <w:lang w:val="en-GB"/>
        </w:rPr>
        <w:t>WP3 - Algorithms and filtering tools (Marko &amp; Darin)</w:t>
      </w:r>
    </w:p>
    <w:p>
      <w:pPr>
        <w:pStyle w:val="Normal"/>
        <w:rPr>
          <w:lang w:val="en-GB"/>
        </w:rPr>
      </w:pPr>
      <w:r>
        <w:rPr>
          <w:lang w:val="en-GB"/>
        </w:rPr>
        <w:t>WP4 - Laboratory testing (Bekir)</w:t>
      </w:r>
    </w:p>
    <w:p>
      <w:pPr>
        <w:pStyle w:val="Normal"/>
        <w:rPr>
          <w:lang w:val="en-GB"/>
        </w:rPr>
      </w:pPr>
      <w:r>
        <w:rPr>
          <w:lang w:val="en-GB"/>
        </w:rPr>
        <w:t>WP5 - Crystallography and enzyme reengineering (Mats, Sweden)</w:t>
      </w:r>
    </w:p>
    <w:p>
      <w:pPr>
        <w:pStyle w:val="Normal"/>
        <w:rPr>
          <w:lang w:val="en-GB"/>
        </w:rPr>
      </w:pPr>
      <w:r>
        <w:rPr>
          <w:lang w:val="en-GB"/>
        </w:rPr>
        <w:t>WP6 – Dissemination (All)</w:t>
      </w:r>
    </w:p>
    <w:p>
      <w:pPr>
        <w:pStyle w:val="Normal"/>
        <w:rPr>
          <w:lang w:val="en-GB"/>
        </w:rPr>
      </w:pPr>
      <w:r>
        <w:rPr>
          <w:lang w:val="en-GB"/>
        </w:rPr>
      </w:r>
    </w:p>
    <w:p>
      <w:pPr>
        <w:pStyle w:val="Normal"/>
        <w:rPr>
          <w:lang w:val="en-GB"/>
        </w:rPr>
      </w:pPr>
      <w:r>
        <w:rPr>
          <w:lang w:val="en-GB"/>
        </w:rPr>
        <w:t>IZUM= 1,5Mio</w:t>
      </w:r>
    </w:p>
    <w:p>
      <w:pPr>
        <w:pStyle w:val="Normal"/>
        <w:rPr>
          <w:lang w:val="en-GB"/>
        </w:rPr>
      </w:pPr>
      <w:r>
        <w:rPr>
          <w:lang w:val="en-GB"/>
        </w:rPr>
        <w:t>Bekir (Denmark) = 1,25Mio</w:t>
      </w:r>
    </w:p>
    <w:p>
      <w:pPr>
        <w:pStyle w:val="Normal"/>
        <w:rPr>
          <w:lang w:val="en-GB"/>
        </w:rPr>
      </w:pPr>
      <w:r>
        <w:rPr>
          <w:lang w:val="en-GB"/>
        </w:rPr>
        <w:t>Mats, Sweden, Crystallography = 1,25 Mio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160"/>
        <w:jc w:val="left"/>
        <w:rPr/>
      </w:pPr>
      <w:r>
        <w:rPr/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hyphenationZone w:val="425"/>
  <w:themeFontLang w:val="sl-SI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f5d8f"/>
    <w:pPr>
      <w:widowControl/>
      <w:bidi w:val="0"/>
      <w:spacing w:lineRule="auto" w:line="276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sl-SI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Naslov1Znak"/>
    <w:uiPriority w:val="9"/>
    <w:qFormat/>
    <w:rsid w:val="00bf5d8f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Naslov2Znak"/>
    <w:uiPriority w:val="9"/>
    <w:semiHidden/>
    <w:unhideWhenUsed/>
    <w:qFormat/>
    <w:rsid w:val="00bf5d8f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Naslov3Znak"/>
    <w:uiPriority w:val="9"/>
    <w:semiHidden/>
    <w:unhideWhenUsed/>
    <w:qFormat/>
    <w:rsid w:val="00bf5d8f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Naslov4Znak"/>
    <w:uiPriority w:val="9"/>
    <w:semiHidden/>
    <w:unhideWhenUsed/>
    <w:qFormat/>
    <w:rsid w:val="00bf5d8f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Naslov5Znak"/>
    <w:uiPriority w:val="9"/>
    <w:semiHidden/>
    <w:unhideWhenUsed/>
    <w:qFormat/>
    <w:rsid w:val="00bf5d8f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Naslov6Znak"/>
    <w:uiPriority w:val="9"/>
    <w:semiHidden/>
    <w:unhideWhenUsed/>
    <w:qFormat/>
    <w:rsid w:val="00bf5d8f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Naslov7Znak"/>
    <w:uiPriority w:val="9"/>
    <w:semiHidden/>
    <w:unhideWhenUsed/>
    <w:qFormat/>
    <w:rsid w:val="00bf5d8f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Naslov8Znak"/>
    <w:uiPriority w:val="9"/>
    <w:semiHidden/>
    <w:unhideWhenUsed/>
    <w:qFormat/>
    <w:rsid w:val="00bf5d8f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Naslov9Znak"/>
    <w:uiPriority w:val="9"/>
    <w:semiHidden/>
    <w:unhideWhenUsed/>
    <w:qFormat/>
    <w:rsid w:val="00bf5d8f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Naslov1Znak" w:customStyle="1">
    <w:name w:val="Naslov 1 Znak"/>
    <w:basedOn w:val="DefaultParagraphFont"/>
    <w:link w:val="Heading1"/>
    <w:uiPriority w:val="9"/>
    <w:qFormat/>
    <w:rsid w:val="00bf5d8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Naslov2Znak" w:customStyle="1">
    <w:name w:val="Naslov 2 Znak"/>
    <w:basedOn w:val="DefaultParagraphFont"/>
    <w:link w:val="Heading2"/>
    <w:uiPriority w:val="9"/>
    <w:semiHidden/>
    <w:qFormat/>
    <w:rsid w:val="00bf5d8f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Naslov3Znak" w:customStyle="1">
    <w:name w:val="Naslov 3 Znak"/>
    <w:basedOn w:val="DefaultParagraphFont"/>
    <w:link w:val="Heading3"/>
    <w:uiPriority w:val="9"/>
    <w:semiHidden/>
    <w:qFormat/>
    <w:rsid w:val="00bf5d8f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Naslov4Znak" w:customStyle="1">
    <w:name w:val="Naslov 4 Znak"/>
    <w:basedOn w:val="DefaultParagraphFont"/>
    <w:link w:val="Heading4"/>
    <w:uiPriority w:val="9"/>
    <w:semiHidden/>
    <w:qFormat/>
    <w:rsid w:val="00bf5d8f"/>
    <w:rPr>
      <w:rFonts w:eastAsia="" w:cs="" w:cstheme="majorBidi" w:eastAsiaTheme="majorEastAsia"/>
      <w:i/>
      <w:iCs/>
      <w:color w:val="0F4761" w:themeColor="accent1" w:themeShade="bf"/>
    </w:rPr>
  </w:style>
  <w:style w:type="character" w:styleId="Naslov5Znak" w:customStyle="1">
    <w:name w:val="Naslov 5 Znak"/>
    <w:basedOn w:val="DefaultParagraphFont"/>
    <w:link w:val="Heading5"/>
    <w:uiPriority w:val="9"/>
    <w:semiHidden/>
    <w:qFormat/>
    <w:rsid w:val="00bf5d8f"/>
    <w:rPr>
      <w:rFonts w:eastAsia="" w:cs="" w:cstheme="majorBidi" w:eastAsiaTheme="majorEastAsia"/>
      <w:color w:val="0F4761" w:themeColor="accent1" w:themeShade="bf"/>
    </w:rPr>
  </w:style>
  <w:style w:type="character" w:styleId="Naslov6Znak" w:customStyle="1">
    <w:name w:val="Naslov 6 Znak"/>
    <w:basedOn w:val="DefaultParagraphFont"/>
    <w:link w:val="Heading6"/>
    <w:uiPriority w:val="9"/>
    <w:semiHidden/>
    <w:qFormat/>
    <w:rsid w:val="00bf5d8f"/>
    <w:rPr>
      <w:rFonts w:eastAsia="" w:cs="" w:cstheme="majorBidi" w:eastAsiaTheme="majorEastAsia"/>
      <w:i/>
      <w:iCs/>
      <w:color w:val="595959" w:themeColor="text1" w:themeTint="a6"/>
    </w:rPr>
  </w:style>
  <w:style w:type="character" w:styleId="Naslov7Znak" w:customStyle="1">
    <w:name w:val="Naslov 7 Znak"/>
    <w:basedOn w:val="DefaultParagraphFont"/>
    <w:link w:val="Heading7"/>
    <w:uiPriority w:val="9"/>
    <w:semiHidden/>
    <w:qFormat/>
    <w:rsid w:val="00bf5d8f"/>
    <w:rPr>
      <w:rFonts w:eastAsia="" w:cs="" w:cstheme="majorBidi" w:eastAsiaTheme="majorEastAsia"/>
      <w:color w:val="595959" w:themeColor="text1" w:themeTint="a6"/>
    </w:rPr>
  </w:style>
  <w:style w:type="character" w:styleId="Naslov8Znak" w:customStyle="1">
    <w:name w:val="Naslov 8 Znak"/>
    <w:basedOn w:val="DefaultParagraphFont"/>
    <w:link w:val="Heading8"/>
    <w:uiPriority w:val="9"/>
    <w:semiHidden/>
    <w:qFormat/>
    <w:rsid w:val="00bf5d8f"/>
    <w:rPr>
      <w:rFonts w:eastAsia="" w:cs="" w:cstheme="majorBidi" w:eastAsiaTheme="majorEastAsia"/>
      <w:i/>
      <w:iCs/>
      <w:color w:val="272727" w:themeColor="text1" w:themeTint="d8"/>
    </w:rPr>
  </w:style>
  <w:style w:type="character" w:styleId="Naslov9Znak" w:customStyle="1">
    <w:name w:val="Naslov 9 Znak"/>
    <w:basedOn w:val="DefaultParagraphFont"/>
    <w:link w:val="Heading9"/>
    <w:uiPriority w:val="9"/>
    <w:semiHidden/>
    <w:qFormat/>
    <w:rsid w:val="00bf5d8f"/>
    <w:rPr>
      <w:rFonts w:eastAsia="" w:cs="" w:cstheme="majorBidi" w:eastAsiaTheme="majorEastAsia"/>
      <w:color w:val="272727" w:themeColor="text1" w:themeTint="d8"/>
    </w:rPr>
  </w:style>
  <w:style w:type="character" w:styleId="NaslovZnak" w:customStyle="1">
    <w:name w:val="Naslov Znak"/>
    <w:basedOn w:val="DefaultParagraphFont"/>
    <w:link w:val="Title"/>
    <w:uiPriority w:val="10"/>
    <w:qFormat/>
    <w:rsid w:val="00bf5d8f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PodnaslovZnak" w:customStyle="1">
    <w:name w:val="Podnaslov Znak"/>
    <w:basedOn w:val="DefaultParagraphFont"/>
    <w:link w:val="Subtitle"/>
    <w:uiPriority w:val="11"/>
    <w:qFormat/>
    <w:rsid w:val="00bf5d8f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CitatZnak" w:customStyle="1">
    <w:name w:val="Citat Znak"/>
    <w:basedOn w:val="DefaultParagraphFont"/>
    <w:link w:val="Quote"/>
    <w:uiPriority w:val="29"/>
    <w:qFormat/>
    <w:rsid w:val="00bf5d8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f5d8f"/>
    <w:rPr>
      <w:i/>
      <w:iCs/>
      <w:color w:val="0F4761" w:themeColor="accent1" w:themeShade="bf"/>
    </w:rPr>
  </w:style>
  <w:style w:type="character" w:styleId="IntenzivencitatZnak" w:customStyle="1">
    <w:name w:val="Intenziven citat Znak"/>
    <w:basedOn w:val="DefaultParagraphFont"/>
    <w:link w:val="IntenseQuote"/>
    <w:uiPriority w:val="30"/>
    <w:qFormat/>
    <w:rsid w:val="00bf5d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5d8f"/>
    <w:rPr>
      <w:b/>
      <w:bCs/>
      <w:smallCaps/>
      <w:color w:val="0F4761" w:themeColor="accent1" w:themeShade="bf"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NaslovZnak"/>
    <w:uiPriority w:val="10"/>
    <w:qFormat/>
    <w:rsid w:val="00bf5d8f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PodnaslovZnak"/>
    <w:uiPriority w:val="11"/>
    <w:qFormat/>
    <w:rsid w:val="00bf5d8f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CitatZnak"/>
    <w:uiPriority w:val="29"/>
    <w:qFormat/>
    <w:rsid w:val="00bf5d8f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5d8f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zivencitatZnak"/>
    <w:uiPriority w:val="30"/>
    <w:qFormat/>
    <w:rsid w:val="00bf5d8f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Navadnatabel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897</TotalTime>
  <Application>LibreOffice/7.3.7.2$Linux_X86_64 LibreOffice_project/30$Build-2</Application>
  <AppVersion>15.0000</AppVersion>
  <Pages>3</Pages>
  <Words>518</Words>
  <Characters>3007</Characters>
  <CharactersWithSpaces>3439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2026-02-16T12:27:00Z</dcterms:created>
  <dc:creator>Žiga Zebec</dc:creator>
  <dc:description/>
  <dc:language>en-US</dc:language>
  <cp:lastModifiedBy/>
  <dcterms:modified xsi:type="dcterms:W3CDTF">2026-03-10T07:31:28Z</dcterms:modified>
  <cp:revision>30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