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b/>
          <w:b/>
          <w:bCs/>
          <w:u w:val="single"/>
          <w:lang w:val="en-GB"/>
        </w:rPr>
      </w:pPr>
      <w:r>
        <w:rPr>
          <w:b/>
          <w:bCs/>
          <w:u w:val="single"/>
          <w:lang w:val="en-GB"/>
        </w:rPr>
        <w:t>Xzyme project:</w:t>
      </w:r>
    </w:p>
    <w:p>
      <w:pPr>
        <w:pStyle w:val="Normal"/>
        <w:rPr>
          <w:b/>
          <w:b/>
          <w:bCs/>
          <w:sz w:val="28"/>
          <w:szCs w:val="28"/>
          <w:u w:val="single"/>
          <w:lang w:val="en-GB"/>
        </w:rPr>
      </w:pPr>
      <w:r>
        <w:rPr>
          <w:b/>
          <w:bCs/>
          <w:sz w:val="28"/>
          <w:szCs w:val="28"/>
          <w:u w:val="single"/>
          <w:lang w:val="en-GB"/>
        </w:rPr>
        <w:t>Ziga</w:t>
      </w:r>
    </w:p>
    <w:p>
      <w:pPr>
        <w:pStyle w:val="ListParagraph"/>
        <w:numPr>
          <w:ilvl w:val="0"/>
          <w:numId w:val="2"/>
        </w:numPr>
        <w:rPr>
          <w:b/>
          <w:b/>
          <w:bCs/>
          <w:lang w:val="en-GB"/>
        </w:rPr>
      </w:pPr>
      <w:r>
        <w:rPr>
          <w:b/>
          <w:bCs/>
          <w:lang w:val="en-GB"/>
        </w:rPr>
        <w:t>Select call</w:t>
      </w:r>
    </w:p>
    <w:p>
      <w:pPr>
        <w:pStyle w:val="ListParagraph"/>
        <w:numPr>
          <w:ilvl w:val="0"/>
          <w:numId w:val="2"/>
        </w:numPr>
        <w:rPr>
          <w:b/>
          <w:b/>
          <w:bCs/>
          <w:lang w:val="en-GB"/>
        </w:rPr>
      </w:pPr>
      <w:r>
        <w:rPr>
          <w:b/>
          <w:bCs/>
          <w:lang w:val="en-GB"/>
        </w:rPr>
        <w:t>State of the art</w:t>
      </w:r>
    </w:p>
    <w:p>
      <w:pPr>
        <w:pStyle w:val="ListParagraph"/>
        <w:numPr>
          <w:ilvl w:val="0"/>
          <w:numId w:val="2"/>
        </w:numPr>
        <w:rPr>
          <w:b/>
          <w:b/>
          <w:bCs/>
          <w:lang w:val="en-GB"/>
        </w:rPr>
      </w:pPr>
      <w:r>
        <w:rPr>
          <w:b/>
          <w:bCs/>
          <w:lang w:val="en-GB"/>
        </w:rPr>
        <w:t>Why make AI de novo enzymes?</w:t>
      </w:r>
    </w:p>
    <w:p>
      <w:pPr>
        <w:pStyle w:val="ListParagraph"/>
        <w:numPr>
          <w:ilvl w:val="0"/>
          <w:numId w:val="2"/>
        </w:numPr>
        <w:rPr>
          <w:b/>
          <w:b/>
          <w:bCs/>
          <w:lang w:val="en-GB"/>
        </w:rPr>
      </w:pPr>
      <w:r>
        <w:rPr>
          <w:lang w:val="en-GB"/>
        </w:rPr>
        <w:t>Describe use case, degradation of PET</w:t>
      </w:r>
    </w:p>
    <w:p>
      <w:pPr>
        <w:pStyle w:val="ListParagraph"/>
        <w:numPr>
          <w:ilvl w:val="0"/>
          <w:numId w:val="2"/>
        </w:numPr>
        <w:rPr>
          <w:b/>
          <w:b/>
          <w:bCs/>
          <w:lang w:val="en-GB"/>
        </w:rPr>
      </w:pPr>
      <w:r>
        <w:rPr>
          <w:lang w:val="en-GB"/>
        </w:rPr>
        <w:t xml:space="preserve">Describe the philosophy of how to generate AI </w:t>
      </w:r>
      <w:r>
        <w:rPr>
          <w:i/>
          <w:iCs/>
          <w:lang w:val="en-GB"/>
        </w:rPr>
        <w:t>de novo</w:t>
      </w:r>
      <w:r>
        <w:rPr>
          <w:lang w:val="en-GB"/>
        </w:rPr>
        <w:t xml:space="preserve"> enzymes with the current workflow </w:t>
      </w:r>
    </w:p>
    <w:p>
      <w:pPr>
        <w:pStyle w:val="ListParagraph"/>
        <w:numPr>
          <w:ilvl w:val="0"/>
          <w:numId w:val="2"/>
        </w:numPr>
        <w:rPr>
          <w:lang w:val="en-GB"/>
        </w:rPr>
      </w:pPr>
      <w:r>
        <w:rPr>
          <w:lang w:val="en-GB"/>
        </w:rPr>
        <w:t>Describe the current approach (running ChimeraX -nongui mode on HPC Vega=&gt; matchmaker) of selecting the best candidate by using RMSD and seq. alignment score</w:t>
      </w:r>
    </w:p>
    <w:p>
      <w:pPr>
        <w:pStyle w:val="ListParagraph"/>
        <w:numPr>
          <w:ilvl w:val="0"/>
          <w:numId w:val="2"/>
        </w:numPr>
        <w:rPr>
          <w:lang w:val="en-GB"/>
        </w:rPr>
      </w:pPr>
      <w:r>
        <w:rPr>
          <w:lang w:val="en-GB"/>
        </w:rPr>
        <w:t xml:space="preserve">Generated data set of 25000 candidate enzymes to test new tools, new models, data orchestration, ranking strategies and approaches for energy efficient use of computational resources </w:t>
      </w:r>
    </w:p>
    <w:p>
      <w:pPr>
        <w:pStyle w:val="Normal"/>
        <w:ind w:left="360" w:hanging="0"/>
        <w:rPr>
          <w:b/>
          <w:b/>
          <w:bCs/>
          <w:lang w:val="en-GB"/>
        </w:rPr>
      </w:pPr>
      <w:r>
        <w:rPr>
          <w:b/>
          <w:bCs/>
          <w:lang w:val="en-GB"/>
        </w:rPr>
        <w:t>TODO (future work)</w:t>
      </w:r>
    </w:p>
    <w:p>
      <w:pPr>
        <w:pStyle w:val="ListParagraph"/>
        <w:numPr>
          <w:ilvl w:val="0"/>
          <w:numId w:val="3"/>
        </w:numPr>
        <w:rPr>
          <w:lang w:val="en-GB"/>
        </w:rPr>
      </w:pPr>
      <w:r>
        <w:rPr>
          <w:lang w:val="en-GB"/>
        </w:rPr>
        <w:t>Why filtering is important</w:t>
      </w:r>
    </w:p>
    <w:p>
      <w:pPr>
        <w:pStyle w:val="ListParagraph"/>
        <w:numPr>
          <w:ilvl w:val="0"/>
          <w:numId w:val="3"/>
        </w:numPr>
        <w:rPr>
          <w:lang w:val="en-GB"/>
        </w:rPr>
      </w:pPr>
      <w:r>
        <w:rPr>
          <w:lang w:val="en-GB"/>
        </w:rPr>
        <w:t>Describe development of filter and their biological meaning</w:t>
      </w:r>
    </w:p>
    <w:p>
      <w:pPr>
        <w:pStyle w:val="ListParagraph"/>
        <w:numPr>
          <w:ilvl w:val="0"/>
          <w:numId w:val="3"/>
        </w:numPr>
        <w:rPr>
          <w:lang w:val="en-GB"/>
        </w:rPr>
      </w:pPr>
      <w:r>
        <w:rPr>
          <w:lang w:val="en-GB"/>
        </w:rPr>
        <w:t>Describe the biological meaning of clustering and consensus cluster testing</w:t>
      </w:r>
    </w:p>
    <w:p>
      <w:pPr>
        <w:pStyle w:val="ListParagraph"/>
        <w:rPr>
          <w:lang w:val="en-GB"/>
        </w:rPr>
      </w:pPr>
      <w:r>
        <w:rPr/>
        <w:t xml:space="preserve"> </w:t>
      </w:r>
    </w:p>
    <w:p>
      <w:pPr>
        <w:pStyle w:val="ListParagraph"/>
        <w:ind w:hanging="0"/>
        <w:jc w:val="both"/>
        <w:rPr>
          <w:lang w:val="en-GB"/>
        </w:rPr>
      </w:pPr>
      <w:r>
        <w:rPr>
          <w:color w:val="FF0000"/>
        </w:rPr>
        <w:t>Marko:</w:t>
      </w:r>
      <w:r>
        <w:rPr/>
        <w:t xml:space="preserve"> </w:t>
      </w:r>
      <w:r>
        <w:rPr>
          <w:b w:val="false"/>
          <w:bCs w:val="false"/>
          <w:color w:val="FF0000"/>
        </w:rPr>
        <w:t xml:space="preserve">The proposed workflow goes beyond traditional enzyme design pipelines by explicitly exploring the structural manifold of enzymatic proteins. Rather than focusing solely on reproducing known folds, the project aims to discover structurally diverse enzyme mimics that preserve catalytic functionality while introducing novel scaffold architectures. This will be achieved through a combination of generative diffusion models, sequence design networks, structural prediction models, and machine-learning driven clustering methods that enable systematic exploration of protein structure space. When these are appropriately selected, assuming sufficient space diversification, the lab work  of testing  catalytic characteristics of created enyzmes stands. This process represents a time-demanding but also  expensive task, one should secure---or at least increase the possibility---for selecting those structurally and semantically different secondary structures, but with hopefully a preserved catalytic characteristics. Shortly, the core task is to identify diverse structural scaffolds that preserve catalytic functionality but differ globally in topology. Two ways to support the diversity of selecting generated candidates among a large list of other candidates are  filtering and clustering. Filtering is an explicit way of omitting those candidate enzymes that differ significantly from the referene turboPETase protein based on the spatial matching. Another idea to be tested is based on unsupervised machine learning and resampling. Due to the noticed internal bias that AlphaFold posses in generating  structures from sequences, it could happen that the explicit way of filtering through utilizing the RMSD and sequence alignment is still insufficient.  </w:t>
      </w:r>
    </w:p>
    <w:p>
      <w:pPr>
        <w:pStyle w:val="ListParagraph"/>
        <w:jc w:val="both"/>
        <w:rPr>
          <w:lang w:val="en-GB"/>
        </w:rPr>
      </w:pPr>
      <w:r>
        <w:rPr/>
      </w:r>
    </w:p>
    <w:p>
      <w:pPr>
        <w:pStyle w:val="ListParagraph"/>
        <w:ind w:hanging="0"/>
        <w:jc w:val="both"/>
        <w:rPr>
          <w:lang w:val="en-GB"/>
        </w:rPr>
      </w:pPr>
      <w:r>
        <w:rPr>
          <w:b w:val="false"/>
          <w:bCs w:val="false"/>
          <w:color w:val="FF0000"/>
        </w:rPr>
        <w:t xml:space="preserve">The idea consists of analyzing generated structures deeply, by incorporating various measure indicators for each of these structures:  pocket volume, Catalytic residue geometry, but also stability indicators---referring to different domination-based optimization invariant in graphs, and graph topology features/descriptors such as centrality measure, radius of graphs, density, etc. Moreover,  fold-level descriptors are potentially  interesting, such as beta-sheet topology and helix arrangement. The size of minimum dominating sets are known combinatorial optimization invariants that carry on important aspects in biology, protein stabilization, etc. The latter two problems represent NP-hard combinatorial optimization problems, thus, computationally challenging to examine in general. However, this is not a substantial issue, as these problems are well studied with various effective meta-heuristic approaches designed, able to reach close-to-optimal solutions within reasonable time for large-scale graphs. All these (reasonably cheap) features are expected to contrivute in a potential identification of similar structures (topologicaly but also functionally), subsequently improving diversity of pool of structures. </w:t>
      </w:r>
    </w:p>
    <w:p>
      <w:pPr>
        <w:pStyle w:val="ListParagraph"/>
        <w:ind w:hanging="0"/>
        <w:jc w:val="both"/>
        <w:rPr>
          <w:lang w:val="en-GB"/>
        </w:rPr>
      </w:pPr>
      <w:r>
        <w:rPr>
          <w:b w:val="false"/>
          <w:bCs w:val="false"/>
          <w:color w:val="FF0000"/>
        </w:rPr>
        <w:t xml:space="preserve">       </w:t>
      </w:r>
    </w:p>
    <w:p>
      <w:pPr>
        <w:pStyle w:val="ListParagraph"/>
        <w:ind w:hanging="0"/>
        <w:jc w:val="both"/>
        <w:rPr>
          <w:lang w:val="en-GB"/>
        </w:rPr>
      </w:pPr>
      <w:r>
        <w:rPr>
          <w:b w:val="false"/>
          <w:bCs w:val="false"/>
          <w:color w:val="FF0000"/>
        </w:rPr>
        <w:t xml:space="preserve">We tend to explore the idea of consensus problem based on employing different clustering techniques from ML, i.e., unsupervised learning frequently known in bioinformatics for detecting clusters of proteins with same functionality, for example in large PPI networks. </w:t>
      </w:r>
    </w:p>
    <w:p>
      <w:pPr>
        <w:pStyle w:val="ListParagraph"/>
        <w:ind w:hanging="0"/>
        <w:jc w:val="both"/>
        <w:rPr>
          <w:lang w:val="en-GB"/>
        </w:rPr>
      </w:pPr>
      <w:r>
        <w:rPr>
          <w:b w:val="false"/>
          <w:bCs w:val="false"/>
          <w:color w:val="FF0000"/>
        </w:rPr>
        <w:t>Among these methodologies, it is worth testing spectral clustering, density-based clustering or  hierarchical clustering to cluster structures w.r.t.\ similar feature values. First,  one here seeks for the existence of the highest number of clusters (</w:t>
      </w:r>
      <w:r>
        <w:rPr>
          <w:b w:val="false"/>
          <w:bCs w:val="false"/>
          <w:i/>
          <w:iCs/>
          <w:color w:val="FF0000"/>
        </w:rPr>
        <w:t>k</w:t>
      </w:r>
      <w:r>
        <w:rPr>
          <w:b w:val="false"/>
          <w:bCs w:val="false"/>
          <w:color w:val="FF0000"/>
        </w:rPr>
        <w:t>) with a provided good clustering of structures (by reporting a high enough Silhouette coefficient).  Further, uniformly  sampling a portion (</w:t>
      </w:r>
      <w:r>
        <w:rPr>
          <w:b w:val="false"/>
          <w:bCs w:val="false"/>
          <w:i/>
          <w:iCs/>
          <w:color w:val="FF0000"/>
        </w:rPr>
        <w:t>p</w:t>
      </w:r>
      <w:r>
        <w:rPr>
          <w:b w:val="false"/>
          <w:bCs w:val="false"/>
          <w:color w:val="FF0000"/>
        </w:rPr>
        <w:t xml:space="preserve">) of structures which are kept as promising candidates will be made from each cluster, where the other structures are omitted and new ones regenerated by the diffusion model, subsequently passed through the  </w:t>
      </w:r>
      <w:r>
        <w:rPr>
          <w:b w:val="false"/>
          <w:bCs w:val="false"/>
          <w:i/>
          <w:iCs/>
          <w:color w:val="FF0000"/>
        </w:rPr>
        <w:t>ProteinMPNN</w:t>
      </w:r>
      <w:r>
        <w:rPr>
          <w:b w:val="false"/>
          <w:bCs w:val="false"/>
          <w:color w:val="FF0000"/>
        </w:rPr>
        <w:t xml:space="preserve"> and subsequently AlphaFold, until a predefined number of secondary structures is generated, likely more diversified than the starting one.   </w:t>
      </w:r>
    </w:p>
    <w:p>
      <w:pPr>
        <w:pStyle w:val="ListParagraph"/>
        <w:ind w:hanging="0"/>
        <w:jc w:val="both"/>
        <w:rPr>
          <w:lang w:val="en-GB"/>
        </w:rPr>
      </w:pPr>
      <w:r>
        <w:rPr/>
      </w:r>
    </w:p>
    <w:p>
      <w:pPr>
        <w:pStyle w:val="ListParagraph"/>
        <w:tabs>
          <w:tab w:val="clear" w:pos="708"/>
          <w:tab w:val="left" w:pos="1230" w:leader="none"/>
        </w:tabs>
        <w:ind w:hanging="0"/>
        <w:jc w:val="both"/>
        <w:rPr>
          <w:lang w:val="en-GB"/>
        </w:rPr>
      </w:pPr>
      <w:r>
        <w:rPr>
          <w:b w:val="false"/>
          <w:bCs w:val="false"/>
          <w:color w:val="FF0000"/>
        </w:rPr>
        <w:t xml:space="preserve"> </w:t>
      </w:r>
      <w:r>
        <w:rPr>
          <w:b w:val="false"/>
          <w:bCs w:val="false"/>
          <w:color w:val="FF0000"/>
        </w:rPr>
        <w:t xml:space="preserve">Another point that could improve diversification of generated structures concerns directly </w:t>
      </w:r>
      <w:r>
        <w:rPr>
          <w:b w:val="false"/>
          <w:bCs w:val="false"/>
          <w:i/>
          <w:iCs/>
          <w:color w:val="FF0000"/>
        </w:rPr>
        <w:t>AlphaFold</w:t>
      </w:r>
      <w:r>
        <w:rPr>
          <w:b w:val="false"/>
          <w:bCs w:val="false"/>
          <w:color w:val="FF0000"/>
        </w:rPr>
        <w:t xml:space="preserve"> outputs which provides much richer information that can drive diversification. The tool generates confidence signals such as pLDDT score, PAE matrix (Predicted Aligned Error), model ensemble variance, etc. allow detecting structural uncertainty regions, which can guide diversification. Diversification will preferentially target structurally uncertain regions identified by </w:t>
      </w:r>
      <w:r>
        <w:rPr>
          <w:b w:val="false"/>
          <w:bCs w:val="false"/>
          <w:i/>
          <w:iCs/>
          <w:color w:val="FF0000"/>
        </w:rPr>
        <w:t>AlphaFold</w:t>
      </w:r>
      <w:r>
        <w:rPr>
          <w:b w:val="false"/>
          <w:bCs w:val="false"/>
          <w:color w:val="FF0000"/>
        </w:rPr>
        <w:t xml:space="preserve"> confidence metrics.  </w:t>
      </w:r>
    </w:p>
    <w:p>
      <w:pPr>
        <w:pStyle w:val="ListParagraph"/>
        <w:tabs>
          <w:tab w:val="clear" w:pos="708"/>
          <w:tab w:val="left" w:pos="1230" w:leader="none"/>
        </w:tabs>
        <w:ind w:hanging="0"/>
        <w:jc w:val="both"/>
        <w:rPr>
          <w:lang w:val="en-GB"/>
        </w:rPr>
      </w:pPr>
      <w:r>
        <w:rPr/>
      </w:r>
    </w:p>
    <w:p>
      <w:pPr>
        <w:pStyle w:val="ListParagraph"/>
        <w:tabs>
          <w:tab w:val="clear" w:pos="708"/>
          <w:tab w:val="left" w:pos="1230" w:leader="none"/>
        </w:tabs>
        <w:ind w:hanging="0"/>
        <w:jc w:val="both"/>
        <w:rPr>
          <w:lang w:val="en-GB"/>
        </w:rPr>
      </w:pPr>
      <w:r>
        <w:rPr>
          <w:b w:val="false"/>
          <w:bCs w:val="false"/>
          <w:color w:val="FF0000"/>
        </w:rPr>
        <w:t xml:space="preserve">One strong, high impact idea is to use protein language models such as ESM-2, ProGen, or ProtT5 to generate embedding representations (sequence-level embeddings, residue-level embeddings) of sequences to </w:t>
      </w:r>
      <w:r>
        <w:rPr>
          <w:b w:val="false"/>
          <w:bCs w:val="false"/>
          <w:color w:val="FF0000"/>
        </w:rPr>
        <w:t>capture structural, functional, and evolutionary information directly from amino acid sequences.</w:t>
      </w:r>
      <w:r>
        <w:rPr>
          <w:b w:val="false"/>
          <w:bCs w:val="false"/>
          <w:color w:val="FF0000"/>
        </w:rPr>
        <w:t xml:space="preserve"> This will enrich the feature portfolio and make the initial clustering more accurate.   </w:t>
      </w:r>
    </w:p>
    <w:p>
      <w:pPr>
        <w:pStyle w:val="ListParagraph"/>
        <w:jc w:val="both"/>
        <w:rPr>
          <w:lang w:val="en-GB"/>
        </w:rPr>
      </w:pPr>
      <w:r>
        <w:rPr/>
      </w:r>
    </w:p>
    <w:p>
      <w:pPr>
        <w:pStyle w:val="ListParagraph"/>
        <w:rPr>
          <w:lang w:val="en-GB"/>
        </w:rPr>
      </w:pPr>
      <w:r>
        <w:rPr/>
      </w:r>
    </w:p>
    <w:p>
      <w:pPr>
        <w:pStyle w:val="ListParagraph"/>
        <w:rPr>
          <w:lang w:val="en-GB"/>
        </w:rPr>
      </w:pPr>
      <w:r>
        <w:rPr/>
      </w:r>
    </w:p>
    <w:p>
      <w:pPr>
        <w:pStyle w:val="Normal"/>
        <w:rPr>
          <w:b/>
          <w:b/>
          <w:bCs/>
          <w:sz w:val="28"/>
          <w:szCs w:val="28"/>
          <w:u w:val="single"/>
          <w:lang w:val="en-GB"/>
        </w:rPr>
      </w:pPr>
      <w:r>
        <w:rPr>
          <w:b/>
          <w:bCs/>
          <w:sz w:val="28"/>
          <w:szCs w:val="28"/>
          <w:u w:val="single"/>
          <w:lang w:val="en-GB"/>
        </w:rPr>
        <w:t xml:space="preserve">Samo </w:t>
      </w:r>
    </w:p>
    <w:p>
      <w:pPr>
        <w:pStyle w:val="ListParagraph"/>
        <w:numPr>
          <w:ilvl w:val="0"/>
          <w:numId w:val="1"/>
        </w:numPr>
        <w:rPr>
          <w:lang w:val="en-GB"/>
        </w:rPr>
      </w:pPr>
      <w:r>
        <w:rPr>
          <w:lang w:val="en-GB"/>
        </w:rPr>
        <w:t xml:space="preserve">technically describe our initial/basic workflow to generate </w:t>
      </w:r>
      <w:r>
        <w:rPr>
          <w:i/>
          <w:iCs/>
          <w:lang w:val="en-GB"/>
        </w:rPr>
        <w:t>de novo</w:t>
      </w:r>
      <w:r>
        <w:rPr>
          <w:lang w:val="en-GB"/>
        </w:rPr>
        <w:t xml:space="preserve"> TurboPETase’s</w:t>
      </w:r>
    </w:p>
    <w:p>
      <w:pPr>
        <w:pStyle w:val="ListParagraph"/>
        <w:numPr>
          <w:ilvl w:val="0"/>
          <w:numId w:val="1"/>
        </w:numPr>
        <w:rPr>
          <w:lang w:val="en-GB"/>
        </w:rPr>
      </w:pPr>
      <w:r>
        <w:rPr>
          <w:lang w:val="en-GB"/>
        </w:rPr>
        <w:t xml:space="preserve">describe how we are running the code =&gt; how many molecules are produced by which model, describe the basic setting </w:t>
      </w:r>
    </w:p>
    <w:p>
      <w:pPr>
        <w:pStyle w:val="Normal"/>
        <w:ind w:left="360" w:hanging="0"/>
        <w:rPr>
          <w:b/>
          <w:b/>
          <w:bCs/>
          <w:lang w:val="en-GB"/>
        </w:rPr>
      </w:pPr>
      <w:r>
        <w:rPr>
          <w:b/>
          <w:bCs/>
          <w:lang w:val="en-GB"/>
        </w:rPr>
        <w:t>TODO (future work)</w:t>
      </w:r>
    </w:p>
    <w:p>
      <w:pPr>
        <w:pStyle w:val="ListParagraph"/>
        <w:numPr>
          <w:ilvl w:val="0"/>
          <w:numId w:val="1"/>
        </w:numPr>
        <w:rPr>
          <w:lang w:val="en-GB"/>
        </w:rPr>
      </w:pPr>
      <w:r>
        <w:rPr>
          <w:lang w:val="en-GB"/>
        </w:rPr>
        <w:t>benchmark all used models (together with Teo)</w:t>
      </w:r>
    </w:p>
    <w:p>
      <w:pPr>
        <w:pStyle w:val="ListParagraph"/>
        <w:numPr>
          <w:ilvl w:val="0"/>
          <w:numId w:val="1"/>
        </w:numPr>
        <w:rPr>
          <w:lang w:val="en-GB"/>
        </w:rPr>
      </w:pPr>
      <w:r>
        <w:rPr>
          <w:lang w:val="en-GB"/>
        </w:rPr>
        <w:t>List of possible improvements =&gt; test new models (RFdiffusion2, etc.), containers, porting to AMD (All)</w:t>
      </w:r>
    </w:p>
    <w:p>
      <w:pPr>
        <w:pStyle w:val="ListParagraph"/>
        <w:numPr>
          <w:ilvl w:val="0"/>
          <w:numId w:val="1"/>
        </w:numPr>
        <w:rPr>
          <w:lang w:val="en-GB"/>
        </w:rPr>
      </w:pPr>
      <w:r>
        <w:rPr>
          <w:lang w:val="en-GB"/>
        </w:rPr>
        <w:t>Describe the new filters RMSD and seq. alignment score</w:t>
      </w:r>
    </w:p>
    <w:p>
      <w:pPr>
        <w:pStyle w:val="Normal"/>
        <w:rPr>
          <w:b/>
          <w:b/>
          <w:bCs/>
          <w:lang w:val="en-GB"/>
        </w:rPr>
      </w:pPr>
      <w:r>
        <w:rPr>
          <w:b/>
          <w:bCs/>
          <w:lang w:val="en-GB"/>
        </w:rPr>
      </w:r>
    </w:p>
    <w:p>
      <w:pPr>
        <w:pStyle w:val="Normal"/>
        <w:rPr>
          <w:b/>
          <w:b/>
          <w:bCs/>
          <w:sz w:val="28"/>
          <w:szCs w:val="28"/>
          <w:u w:val="single"/>
          <w:lang w:val="en-GB"/>
        </w:rPr>
      </w:pPr>
      <w:r>
        <w:rPr>
          <w:b/>
          <w:bCs/>
          <w:sz w:val="28"/>
          <w:szCs w:val="28"/>
          <w:u w:val="single"/>
          <w:lang w:val="en-GB"/>
        </w:rPr>
        <w:t>Darin</w:t>
      </w:r>
    </w:p>
    <w:p>
      <w:pPr>
        <w:pStyle w:val="ListParagraph"/>
        <w:numPr>
          <w:ilvl w:val="0"/>
          <w:numId w:val="4"/>
        </w:numPr>
        <w:rPr>
          <w:b/>
          <w:b/>
          <w:bCs/>
          <w:sz w:val="28"/>
          <w:szCs w:val="28"/>
          <w:u w:val="single"/>
          <w:lang w:val="en-GB"/>
        </w:rPr>
      </w:pPr>
      <w:r>
        <w:rPr>
          <w:lang w:val="en-GB"/>
        </w:rPr>
        <w:t>Describe the active site and AminoAcids (AA) (together with Žiga)</w:t>
      </w:r>
    </w:p>
    <w:p>
      <w:pPr>
        <w:pStyle w:val="ListParagraph"/>
        <w:numPr>
          <w:ilvl w:val="0"/>
          <w:numId w:val="4"/>
        </w:numPr>
        <w:rPr>
          <w:b/>
          <w:b/>
          <w:bCs/>
          <w:sz w:val="28"/>
          <w:szCs w:val="28"/>
          <w:u w:val="single"/>
          <w:lang w:val="en-GB"/>
        </w:rPr>
      </w:pPr>
      <w:r>
        <w:rPr>
          <w:lang w:val="en-GB"/>
        </w:rPr>
        <w:t>Describe the envisioned tool; general description Chimera-X</w:t>
      </w:r>
    </w:p>
    <w:p>
      <w:pPr>
        <w:pStyle w:val="Normal"/>
        <w:ind w:left="360" w:hanging="0"/>
        <w:rPr>
          <w:b/>
          <w:b/>
          <w:bCs/>
          <w:lang w:val="en-GB"/>
        </w:rPr>
      </w:pPr>
      <w:r>
        <w:rPr>
          <w:b/>
          <w:bCs/>
          <w:lang w:val="en-GB"/>
        </w:rPr>
        <w:t>TODO (future work)</w:t>
      </w:r>
    </w:p>
    <w:p>
      <w:pPr>
        <w:pStyle w:val="ListParagraph"/>
        <w:numPr>
          <w:ilvl w:val="0"/>
          <w:numId w:val="5"/>
        </w:numPr>
        <w:rPr>
          <w:lang w:val="en-GB"/>
        </w:rPr>
      </w:pPr>
      <w:r>
        <w:rPr>
          <w:lang w:val="en-GB"/>
        </w:rPr>
        <w:t xml:space="preserve">Describe filter </w:t>
      </w:r>
      <w:r>
        <w:rPr>
          <w:b/>
          <w:bCs/>
          <w:lang w:val="en-GB"/>
        </w:rPr>
        <w:t>dist_AP</w:t>
      </w:r>
      <w:r>
        <w:rPr>
          <w:lang w:val="en-GB"/>
        </w:rPr>
        <w:t xml:space="preserve"> technical component; bio component with Žiga &amp; Bekir</w:t>
      </w:r>
    </w:p>
    <w:p>
      <w:pPr>
        <w:pStyle w:val="ListParagraph"/>
        <w:numPr>
          <w:ilvl w:val="0"/>
          <w:numId w:val="5"/>
        </w:numPr>
        <w:rPr>
          <w:lang w:val="en-GB"/>
        </w:rPr>
      </w:pPr>
      <w:r>
        <w:rPr>
          <w:lang w:val="en-GB"/>
        </w:rPr>
        <w:t xml:space="preserve">Describe filter </w:t>
      </w:r>
      <w:r>
        <w:rPr>
          <w:b/>
          <w:bCs/>
          <w:lang w:val="en-GB"/>
        </w:rPr>
        <w:t>dist_iASr</w:t>
      </w:r>
      <w:r>
        <w:rPr>
          <w:lang w:val="en-GB"/>
        </w:rPr>
        <w:t xml:space="preserve"> technical component; bio component with Žiga &amp; Bekir</w:t>
      </w:r>
    </w:p>
    <w:p>
      <w:pPr>
        <w:pStyle w:val="ListParagraph"/>
        <w:numPr>
          <w:ilvl w:val="0"/>
          <w:numId w:val="5"/>
        </w:numPr>
        <w:rPr>
          <w:lang w:val="en-GB"/>
        </w:rPr>
      </w:pPr>
      <w:r>
        <w:rPr>
          <w:lang w:val="en-GB"/>
        </w:rPr>
        <w:t xml:space="preserve">Describe filter </w:t>
      </w:r>
      <w:r>
        <w:rPr>
          <w:b/>
          <w:bCs/>
          <w:lang w:val="en-GB"/>
        </w:rPr>
        <w:t>dist_iASv</w:t>
      </w:r>
      <w:r>
        <w:rPr>
          <w:lang w:val="en-GB"/>
        </w:rPr>
        <w:t xml:space="preserve"> technical component; bio component with Žiga &amp; Bekir</w:t>
      </w:r>
    </w:p>
    <w:p>
      <w:pPr>
        <w:pStyle w:val="ListParagraph"/>
        <w:numPr>
          <w:ilvl w:val="0"/>
          <w:numId w:val="5"/>
        </w:numPr>
        <w:rPr>
          <w:lang w:val="en-GB"/>
        </w:rPr>
      </w:pPr>
      <w:r>
        <w:rPr>
          <w:lang w:val="en-GB"/>
        </w:rPr>
        <w:t>Propose new filters (maybe after talking with Bekir)</w:t>
      </w:r>
    </w:p>
    <w:p>
      <w:pPr>
        <w:pStyle w:val="Normal"/>
        <w:rPr>
          <w:b/>
          <w:b/>
          <w:bCs/>
          <w:sz w:val="28"/>
          <w:szCs w:val="28"/>
          <w:u w:val="single"/>
          <w:lang w:val="en-GB"/>
        </w:rPr>
      </w:pPr>
      <w:r>
        <w:rPr>
          <w:b/>
          <w:bCs/>
          <w:sz w:val="28"/>
          <w:szCs w:val="28"/>
          <w:u w:val="single"/>
          <w:lang w:val="en-GB"/>
        </w:rPr>
        <w:t>Teo</w:t>
      </w:r>
    </w:p>
    <w:p>
      <w:pPr>
        <w:pStyle w:val="ListParagraph"/>
        <w:numPr>
          <w:ilvl w:val="0"/>
          <w:numId w:val="6"/>
        </w:numPr>
        <w:rPr>
          <w:b/>
          <w:b/>
          <w:bCs/>
          <w:sz w:val="28"/>
          <w:szCs w:val="28"/>
          <w:u w:val="single"/>
          <w:lang w:val="en-GB"/>
        </w:rPr>
      </w:pPr>
      <w:r>
        <w:rPr>
          <w:lang w:val="en-GB"/>
        </w:rPr>
        <w:t>Propose what and how to benchmark to define our current state of our workflow (with Samo)</w:t>
      </w:r>
    </w:p>
    <w:p>
      <w:pPr>
        <w:pStyle w:val="Normal"/>
        <w:ind w:left="360" w:hanging="0"/>
        <w:rPr>
          <w:b/>
          <w:b/>
          <w:bCs/>
          <w:lang w:val="en-GB"/>
        </w:rPr>
      </w:pPr>
      <w:r>
        <w:rPr>
          <w:b/>
          <w:bCs/>
          <w:lang w:val="en-GB"/>
        </w:rPr>
        <w:t>TODO (future work)</w:t>
      </w:r>
    </w:p>
    <w:p>
      <w:pPr>
        <w:pStyle w:val="ListParagraph"/>
        <w:numPr>
          <w:ilvl w:val="0"/>
          <w:numId w:val="6"/>
        </w:numPr>
        <w:rPr>
          <w:b/>
          <w:b/>
          <w:bCs/>
          <w:sz w:val="28"/>
          <w:szCs w:val="28"/>
          <w:u w:val="single"/>
          <w:lang w:val="en-GB"/>
        </w:rPr>
      </w:pPr>
      <w:r>
        <w:rPr>
          <w:lang w:val="en-GB"/>
        </w:rPr>
        <w:t>Propose improvements for energy efficiency =&gt; SBATCH, container</w:t>
      </w:r>
    </w:p>
    <w:p>
      <w:pPr>
        <w:pStyle w:val="ListParagraph"/>
        <w:numPr>
          <w:ilvl w:val="0"/>
          <w:numId w:val="6"/>
        </w:numPr>
        <w:rPr>
          <w:b/>
          <w:b/>
          <w:bCs/>
          <w:u w:val="single"/>
          <w:lang w:val="en-GB"/>
        </w:rPr>
      </w:pPr>
      <w:r>
        <w:rPr>
          <w:lang w:val="en-GB"/>
        </w:rPr>
        <w:t xml:space="preserve">Propose pathway to port our workflow to AMD =&gt; flexibility to use compute on AMD GPUs </w:t>
      </w:r>
    </w:p>
    <w:p>
      <w:pPr>
        <w:pStyle w:val="ListParagraph"/>
        <w:numPr>
          <w:ilvl w:val="0"/>
          <w:numId w:val="6"/>
        </w:numPr>
        <w:rPr>
          <w:b/>
          <w:b/>
          <w:bCs/>
          <w:u w:val="single"/>
          <w:lang w:val="en-GB"/>
        </w:rPr>
      </w:pPr>
      <w:r>
        <w:rPr>
          <w:lang w:val="en-GB"/>
        </w:rPr>
        <w:t>Containerization of whole workflow</w:t>
      </w:r>
    </w:p>
    <w:p>
      <w:pPr>
        <w:pStyle w:val="ListParagraph"/>
        <w:numPr>
          <w:ilvl w:val="0"/>
          <w:numId w:val="6"/>
        </w:numPr>
        <w:rPr>
          <w:lang w:val="en-GB"/>
        </w:rPr>
      </w:pPr>
      <w:r>
        <w:rPr>
          <w:lang w:val="en-GB"/>
        </w:rPr>
        <w:t>Propose plan for energy efficient use of HPC resources</w:t>
      </w:r>
    </w:p>
    <w:p>
      <w:pPr>
        <w:pStyle w:val="Normal"/>
        <w:rPr>
          <w:b/>
          <w:b/>
          <w:bCs/>
          <w:lang w:val="en-GB"/>
        </w:rPr>
      </w:pPr>
      <w:r>
        <w:rPr>
          <w:b/>
          <w:bCs/>
          <w:lang w:val="en-GB"/>
        </w:rPr>
      </w:r>
    </w:p>
    <w:p>
      <w:pPr>
        <w:pStyle w:val="Normal"/>
        <w:rPr>
          <w:b/>
          <w:b/>
          <w:bCs/>
          <w:sz w:val="28"/>
          <w:szCs w:val="28"/>
          <w:u w:val="single"/>
          <w:lang w:val="en-GB"/>
        </w:rPr>
      </w:pPr>
      <w:r>
        <w:rPr>
          <w:b/>
          <w:bCs/>
          <w:sz w:val="28"/>
          <w:szCs w:val="28"/>
          <w:u w:val="single"/>
          <w:lang w:val="en-GB"/>
        </w:rPr>
        <w:t>Marko</w:t>
      </w:r>
    </w:p>
    <w:p>
      <w:pPr>
        <w:pStyle w:val="Normal"/>
        <w:rPr>
          <w:b/>
          <w:b/>
          <w:bCs/>
          <w:lang w:val="en-GB"/>
        </w:rPr>
      </w:pPr>
      <w:r>
        <w:rPr>
          <w:b/>
          <w:bCs/>
          <w:lang w:val="en-GB"/>
        </w:rPr>
        <w:t>TODO (future work)</w:t>
      </w:r>
    </w:p>
    <w:p>
      <w:pPr>
        <w:pStyle w:val="ListParagraph"/>
        <w:numPr>
          <w:ilvl w:val="0"/>
          <w:numId w:val="7"/>
        </w:numPr>
        <w:rPr>
          <w:lang w:val="en-GB"/>
        </w:rPr>
      </w:pPr>
      <w:r>
        <w:rPr>
          <w:lang w:val="en-GB"/>
        </w:rPr>
        <w:t xml:space="preserve">Developing new tools for better selection candidate enzymes that will go to lab testing </w:t>
      </w:r>
    </w:p>
    <w:p>
      <w:pPr>
        <w:pStyle w:val="ListParagraph"/>
        <w:rPr>
          <w:lang w:val="en-GB"/>
        </w:rPr>
      </w:pPr>
      <w:r>
        <w:rPr>
          <w:lang w:val="en-GB"/>
        </w:rPr>
        <w:t xml:space="preserve"> </w:t>
      </w:r>
    </w:p>
    <w:p>
      <w:pPr>
        <w:pStyle w:val="ListParagraph"/>
        <w:numPr>
          <w:ilvl w:val="0"/>
          <w:numId w:val="7"/>
        </w:numPr>
        <w:rPr>
          <w:lang w:val="en-GB"/>
        </w:rPr>
      </w:pPr>
      <w:r>
        <w:rPr>
          <w:lang w:val="en-GB"/>
        </w:rPr>
        <w:t>Potential for data orchestration</w:t>
      </w:r>
    </w:p>
    <w:p>
      <w:pPr>
        <w:pStyle w:val="ListParagraph"/>
        <w:numPr>
          <w:ilvl w:val="0"/>
          <w:numId w:val="8"/>
        </w:numPr>
        <w:rPr>
          <w:lang w:val="en-GB"/>
        </w:rPr>
      </w:pPr>
      <w:r>
        <w:rPr>
          <w:lang w:val="en-GB"/>
        </w:rPr>
        <w:t>Multiple sequence alignment clustering &amp; consensus seq. testing</w:t>
      </w:r>
    </w:p>
    <w:p>
      <w:pPr>
        <w:pStyle w:val="ListParagraph"/>
        <w:numPr>
          <w:ilvl w:val="0"/>
          <w:numId w:val="8"/>
        </w:numPr>
        <w:rPr>
          <w:lang w:val="en-GB"/>
        </w:rPr>
      </w:pPr>
      <w:r>
        <w:rPr>
          <w:lang w:val="en-GB"/>
        </w:rPr>
        <w:t>Investigating distribution of clusters to determine the space this distribution can cover</w:t>
      </w:r>
    </w:p>
    <w:p>
      <w:pPr>
        <w:pStyle w:val="Normal"/>
        <w:rPr>
          <w:lang w:val="en-GB"/>
        </w:rPr>
      </w:pPr>
      <w:r>
        <w:rPr>
          <w:lang w:val="en-GB"/>
        </w:rPr>
      </w:r>
    </w:p>
    <w:p>
      <w:pPr>
        <w:pStyle w:val="Normal"/>
        <w:rPr>
          <w:lang w:val="en-GB"/>
        </w:rPr>
      </w:pPr>
      <w:r>
        <w:rPr>
          <w:lang w:val="en-GB"/>
        </w:rPr>
        <w:t>WP1-project management (Žiga &amp; all)</w:t>
      </w:r>
    </w:p>
    <w:p>
      <w:pPr>
        <w:pStyle w:val="Normal"/>
        <w:rPr>
          <w:lang w:val="en-GB"/>
        </w:rPr>
      </w:pPr>
      <w:r>
        <w:rPr>
          <w:lang w:val="en-GB"/>
        </w:rPr>
        <w:t>WP2 - Workflow &amp; data orchestration (Teo &amp; Samo)</w:t>
      </w:r>
    </w:p>
    <w:p>
      <w:pPr>
        <w:pStyle w:val="Normal"/>
        <w:rPr>
          <w:lang w:val="en-GB"/>
        </w:rPr>
      </w:pPr>
      <w:r>
        <w:rPr>
          <w:lang w:val="en-GB"/>
        </w:rPr>
        <w:t>WP3 - Algorithms and filtering tools (Marko &amp; Darin)</w:t>
      </w:r>
    </w:p>
    <w:p>
      <w:pPr>
        <w:pStyle w:val="Normal"/>
        <w:rPr>
          <w:lang w:val="en-GB"/>
        </w:rPr>
      </w:pPr>
      <w:r>
        <w:rPr>
          <w:lang w:val="en-GB"/>
        </w:rPr>
        <w:t>WP4 - Laboratory testing  (Bekir)</w:t>
      </w:r>
    </w:p>
    <w:p>
      <w:pPr>
        <w:pStyle w:val="Normal"/>
        <w:rPr>
          <w:lang w:val="en-GB"/>
        </w:rPr>
      </w:pPr>
      <w:r>
        <w:rPr>
          <w:lang w:val="en-GB"/>
        </w:rPr>
        <w:t>WP5 - Crystallography and enzyme reengineering (Mats Sweden)</w:t>
      </w:r>
    </w:p>
    <w:p>
      <w:pPr>
        <w:pStyle w:val="Normal"/>
        <w:rPr>
          <w:lang w:val="en-GB"/>
        </w:rPr>
      </w:pPr>
      <w:r>
        <w:rPr>
          <w:lang w:val="en-GB"/>
        </w:rPr>
        <w:t>WP6-Disemmination (All)</w:t>
      </w:r>
    </w:p>
    <w:p>
      <w:pPr>
        <w:pStyle w:val="Normal"/>
        <w:rPr>
          <w:lang w:val="en-GB"/>
        </w:rPr>
      </w:pPr>
      <w:r>
        <w:rPr>
          <w:lang w:val="en-GB"/>
        </w:rPr>
      </w:r>
    </w:p>
    <w:p>
      <w:pPr>
        <w:pStyle w:val="Normal"/>
        <w:rPr>
          <w:lang w:val="en-GB"/>
        </w:rPr>
      </w:pPr>
      <w:r>
        <w:rPr>
          <w:lang w:val="en-GB"/>
        </w:rPr>
      </w:r>
    </w:p>
    <w:p>
      <w:pPr>
        <w:pStyle w:val="Normal"/>
        <w:rPr/>
      </w:pPr>
      <w:r>
        <w:rPr/>
      </w:r>
    </w:p>
    <w:tbl>
      <w:tblPr>
        <w:tblW w:w="9069" w:type="dxa"/>
        <w:jc w:val="left"/>
        <w:tblInd w:w="0" w:type="dxa"/>
        <w:tblLayout w:type="fixed"/>
        <w:tblCellMar>
          <w:top w:w="0" w:type="dxa"/>
          <w:left w:w="2" w:type="dxa"/>
          <w:bottom w:w="0" w:type="dxa"/>
          <w:right w:w="5" w:type="dxa"/>
        </w:tblCellMar>
        <w:tblLook w:val="04a0" w:noHBand="0" w:noVBand="1" w:firstColumn="1" w:lastRow="0" w:lastColumn="0" w:firstRow="1"/>
      </w:tblPr>
      <w:tblGrid>
        <w:gridCol w:w="847"/>
        <w:gridCol w:w="2835"/>
        <w:gridCol w:w="5387"/>
      </w:tblGrid>
      <w:tr>
        <w:trPr>
          <w:tblHeader w:val="true"/>
        </w:trPr>
        <w:tc>
          <w:tcPr>
            <w:tcW w:w="847" w:type="dxa"/>
            <w:tcBorders>
              <w:top w:val="single" w:sz="2" w:space="0" w:color="E3E3E3"/>
              <w:left w:val="single" w:sz="2" w:space="0" w:color="E3E3E3"/>
              <w:bottom w:val="single" w:sz="4" w:space="0" w:color="E1E3EA"/>
              <w:right w:val="single" w:sz="4" w:space="0" w:color="E1E3EA"/>
            </w:tcBorders>
            <w:shd w:color="auto" w:fill="F7F8FC" w:val="clear"/>
            <w:vAlign w:val="center"/>
          </w:tcPr>
          <w:p>
            <w:pPr>
              <w:pStyle w:val="Normal"/>
              <w:widowControl w:val="false"/>
              <w:spacing w:before="0" w:after="160"/>
              <w:rPr>
                <w:b/>
                <w:b/>
                <w:bCs/>
              </w:rPr>
            </w:pPr>
            <w:r>
              <w:rPr>
                <w:b/>
                <w:bCs/>
              </w:rPr>
              <w:t>TRL</w:t>
            </w:r>
          </w:p>
        </w:tc>
        <w:tc>
          <w:tcPr>
            <w:tcW w:w="2835" w:type="dxa"/>
            <w:tcBorders>
              <w:top w:val="single" w:sz="2" w:space="0" w:color="E3E3E3"/>
              <w:left w:val="single" w:sz="2" w:space="0" w:color="E3E3E3"/>
              <w:bottom w:val="single" w:sz="4" w:space="0" w:color="E1E3EA"/>
              <w:right w:val="single" w:sz="4" w:space="0" w:color="E1E3EA"/>
            </w:tcBorders>
            <w:shd w:color="auto" w:fill="F7F8FC" w:val="clear"/>
            <w:vAlign w:val="center"/>
          </w:tcPr>
          <w:p>
            <w:pPr>
              <w:pStyle w:val="Normal"/>
              <w:widowControl w:val="false"/>
              <w:spacing w:before="0" w:after="160"/>
              <w:rPr>
                <w:b/>
                <w:b/>
                <w:bCs/>
              </w:rPr>
            </w:pPr>
            <w:r>
              <w:rPr>
                <w:b/>
                <w:bCs/>
              </w:rPr>
              <w:t>Definition (Horizon Europe/NASA Standard)</w:t>
            </w:r>
          </w:p>
        </w:tc>
        <w:tc>
          <w:tcPr>
            <w:tcW w:w="5387" w:type="dxa"/>
            <w:tcBorders>
              <w:top w:val="single" w:sz="2" w:space="0" w:color="E3E3E3"/>
              <w:left w:val="single" w:sz="2" w:space="0" w:color="E3E3E3"/>
              <w:bottom w:val="single" w:sz="4" w:space="0" w:color="E1E3EA"/>
            </w:tcBorders>
            <w:shd w:color="auto" w:fill="F7F8FC" w:val="clear"/>
            <w:vAlign w:val="center"/>
          </w:tcPr>
          <w:p>
            <w:pPr>
              <w:pStyle w:val="Normal"/>
              <w:widowControl w:val="false"/>
              <w:spacing w:before="0" w:after="160"/>
              <w:rPr>
                <w:b/>
                <w:b/>
                <w:bCs/>
              </w:rPr>
            </w:pPr>
            <w:r>
              <w:rPr>
                <w:b/>
                <w:bCs/>
              </w:rPr>
              <w:t xml:space="preserve">AI </w:t>
            </w:r>
            <w:r>
              <w:rPr>
                <w:b/>
                <w:bCs/>
                <w:i/>
                <w:iCs/>
              </w:rPr>
              <w:t>De Novo</w:t>
            </w:r>
            <w:r>
              <w:rPr>
                <w:b/>
                <w:bCs/>
              </w:rPr>
              <w:t xml:space="preserve"> Protein Design Use Case Example</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1</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Basic principles observed</w:t>
            </w:r>
          </w:p>
        </w:tc>
        <w:tc>
          <w:tcPr>
            <w:tcW w:w="5387" w:type="dxa"/>
            <w:tcBorders>
              <w:top w:val="single" w:sz="2" w:space="0" w:color="E3E3E3"/>
              <w:left w:val="single" w:sz="2" w:space="0" w:color="E3E3E3"/>
              <w:bottom w:val="single" w:sz="4" w:space="0" w:color="E1E3EA"/>
            </w:tcBorders>
            <w:vAlign w:val="center"/>
          </w:tcPr>
          <w:p>
            <w:pPr>
              <w:pStyle w:val="Normal"/>
              <w:widowControl w:val="false"/>
              <w:rPr/>
            </w:pPr>
            <w:r>
              <w:rPr/>
              <w:t xml:space="preserve">Fundamental research on protein folding physics; early exploration of how deep learning could model amino acid interactions </w:t>
            </w:r>
          </w:p>
          <w:p>
            <w:pPr>
              <w:pStyle w:val="Normal"/>
              <w:widowControl w:val="false"/>
              <w:spacing w:before="0" w:after="160"/>
              <w:rPr/>
            </w:pPr>
            <w:r>
              <w:rPr/>
              <w:t>innovationsfonden.dk</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2</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Technology concept formulated</w:t>
            </w:r>
          </w:p>
        </w:tc>
        <w:tc>
          <w:tcPr>
            <w:tcW w:w="5387" w:type="dxa"/>
            <w:tcBorders>
              <w:top w:val="single" w:sz="2" w:space="0" w:color="E3E3E3"/>
              <w:left w:val="single" w:sz="2" w:space="0" w:color="E3E3E3"/>
              <w:bottom w:val="single" w:sz="4" w:space="0" w:color="E1E3EA"/>
            </w:tcBorders>
            <w:vAlign w:val="center"/>
          </w:tcPr>
          <w:p>
            <w:pPr>
              <w:pStyle w:val="Normal"/>
              <w:widowControl w:val="false"/>
              <w:rPr/>
            </w:pPr>
            <w:r>
              <w:rPr/>
              <w:t xml:space="preserve">Hypothesis that diffusion models or transformers could </w:t>
            </w:r>
            <w:r>
              <w:rPr>
                <w:i/>
                <w:iCs/>
              </w:rPr>
              <w:t>generate</w:t>
            </w:r>
            <w:r>
              <w:rPr/>
              <w:t xml:space="preserve"> (not just predict) novel protein backbones; conceptual architecture for generative protein design </w:t>
            </w:r>
          </w:p>
          <w:p>
            <w:pPr>
              <w:pStyle w:val="Normal"/>
              <w:widowControl w:val="false"/>
              <w:spacing w:before="0" w:after="160"/>
              <w:rPr/>
            </w:pPr>
            <w:r>
              <w:rPr/>
              <w:t>www.nature.com</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3</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Experimental proof of concept</w:t>
            </w:r>
          </w:p>
        </w:tc>
        <w:tc>
          <w:tcPr>
            <w:tcW w:w="5387" w:type="dxa"/>
            <w:tcBorders>
              <w:top w:val="single" w:sz="2" w:space="0" w:color="E3E3E3"/>
              <w:left w:val="single" w:sz="2" w:space="0" w:color="E3E3E3"/>
              <w:bottom w:val="single" w:sz="4" w:space="0" w:color="E1E3EA"/>
            </w:tcBorders>
            <w:vAlign w:val="center"/>
          </w:tcPr>
          <w:p>
            <w:pPr>
              <w:pStyle w:val="Normal"/>
              <w:widowControl w:val="false"/>
              <w:rPr/>
            </w:pPr>
            <w:r>
              <w:rPr/>
              <w:t xml:space="preserve">First successful </w:t>
            </w:r>
            <w:r>
              <w:rPr>
                <w:i/>
                <w:iCs/>
              </w:rPr>
              <w:t>in silico</w:t>
            </w:r>
            <w:r>
              <w:rPr/>
              <w:t xml:space="preserve"> generation of a stable, foldable protein sequence using a prototype AI model (e.g., early RFdiffusion tests generating monomeric backbones validated by Rosetta energy scores) </w:t>
            </w:r>
          </w:p>
          <w:p>
            <w:pPr>
              <w:pStyle w:val="Normal"/>
              <w:widowControl w:val="false"/>
              <w:spacing w:before="0" w:after="160"/>
              <w:rPr/>
            </w:pPr>
            <w:r>
              <w:rPr/>
              <w:t>www.nature.com</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4</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Technology validated in lab</w:t>
            </w:r>
          </w:p>
        </w:tc>
        <w:tc>
          <w:tcPr>
            <w:tcW w:w="5387" w:type="dxa"/>
            <w:tcBorders>
              <w:top w:val="single" w:sz="2" w:space="0" w:color="E3E3E3"/>
              <w:left w:val="single" w:sz="2" w:space="0" w:color="E3E3E3"/>
              <w:bottom w:val="single" w:sz="4" w:space="0" w:color="E1E3EA"/>
            </w:tcBorders>
            <w:vAlign w:val="center"/>
          </w:tcPr>
          <w:p>
            <w:pPr>
              <w:pStyle w:val="Normal"/>
              <w:widowControl w:val="false"/>
              <w:rPr/>
            </w:pPr>
            <w:r>
              <w:rPr/>
              <w:t xml:space="preserve">AI-designed protein synthesized </w:t>
            </w:r>
            <w:r>
              <w:rPr>
                <w:i/>
                <w:iCs/>
              </w:rPr>
              <w:t>in vitro</w:t>
            </w:r>
            <w:r>
              <w:rPr/>
              <w:t xml:space="preserve">; circular dichroism or NMR confirms the computationally predicted fold matches experimental structure (but not yet functional) </w:t>
            </w:r>
          </w:p>
          <w:p>
            <w:pPr>
              <w:pStyle w:val="Normal"/>
              <w:widowControl w:val="false"/>
              <w:spacing w:before="0" w:after="160"/>
              <w:rPr/>
            </w:pPr>
            <w:r>
              <w:rPr/>
              <w:t>www.sciencedirect.com</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5</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Technology validated in relevant environment</w:t>
            </w:r>
          </w:p>
        </w:tc>
        <w:tc>
          <w:tcPr>
            <w:tcW w:w="5387" w:type="dxa"/>
            <w:tcBorders>
              <w:top w:val="single" w:sz="2" w:space="0" w:color="E3E3E3"/>
              <w:left w:val="single" w:sz="2" w:space="0" w:color="E3E3E3"/>
              <w:bottom w:val="single" w:sz="4" w:space="0" w:color="E1E3EA"/>
            </w:tcBorders>
            <w:vAlign w:val="center"/>
          </w:tcPr>
          <w:p>
            <w:pPr>
              <w:pStyle w:val="Normal"/>
              <w:widowControl w:val="false"/>
              <w:rPr/>
            </w:pPr>
            <w:r>
              <w:rPr/>
              <w:t xml:space="preserve">AI-designed protein demonstrates target function in controlled lab assays (e.g., binds intended target in ELISA, catalyzes reaction </w:t>
            </w:r>
            <w:r>
              <w:rPr>
                <w:i/>
                <w:iCs/>
              </w:rPr>
              <w:t>in vitro</w:t>
            </w:r>
            <w:r>
              <w:rPr/>
              <w:t xml:space="preserve">); success rate ~10–20% of designs </w:t>
            </w:r>
          </w:p>
          <w:p>
            <w:pPr>
              <w:pStyle w:val="Normal"/>
              <w:widowControl w:val="false"/>
              <w:spacing w:before="0" w:after="160"/>
              <w:rPr/>
            </w:pPr>
            <w:r>
              <w:rPr/>
              <w:t>www.sciencedirect.com</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6</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Technology demonstrated in relevant environment</w:t>
            </w:r>
          </w:p>
        </w:tc>
        <w:tc>
          <w:tcPr>
            <w:tcW w:w="5387" w:type="dxa"/>
            <w:tcBorders>
              <w:top w:val="single" w:sz="2" w:space="0" w:color="E3E3E3"/>
              <w:left w:val="single" w:sz="2" w:space="0" w:color="E3E3E3"/>
              <w:bottom w:val="single" w:sz="4" w:space="0" w:color="E1E3EA"/>
            </w:tcBorders>
            <w:vAlign w:val="center"/>
          </w:tcPr>
          <w:p>
            <w:pPr>
              <w:pStyle w:val="Normal"/>
              <w:widowControl w:val="false"/>
              <w:rPr/>
            </w:pPr>
            <w:r>
              <w:rPr/>
              <w:t xml:space="preserve">Multiple AI-designed proteins validated in cell-based assays or organoids; prototype therapeutic/enzyme shows efficacy in disease-relevant </w:t>
            </w:r>
            <w:r>
              <w:rPr>
                <w:i/>
                <w:iCs/>
              </w:rPr>
              <w:t>in vitro</w:t>
            </w:r>
            <w:r>
              <w:rPr/>
              <w:t xml:space="preserve"> models (e.g., designed binder neutralizes virus in cell culture) </w:t>
            </w:r>
          </w:p>
          <w:p>
            <w:pPr>
              <w:pStyle w:val="Normal"/>
              <w:widowControl w:val="false"/>
              <w:spacing w:before="0" w:after="160"/>
              <w:rPr/>
            </w:pPr>
            <w:r>
              <w:rPr/>
              <w:t>www.genengnews.com</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7</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System prototype demonstrated in operational environment</w:t>
            </w:r>
          </w:p>
        </w:tc>
        <w:tc>
          <w:tcPr>
            <w:tcW w:w="5387" w:type="dxa"/>
            <w:tcBorders>
              <w:top w:val="single" w:sz="2" w:space="0" w:color="E3E3E3"/>
              <w:left w:val="single" w:sz="2" w:space="0" w:color="E3E3E3"/>
              <w:bottom w:val="single" w:sz="4" w:space="0" w:color="E1E3EA"/>
            </w:tcBorders>
            <w:vAlign w:val="center"/>
          </w:tcPr>
          <w:p>
            <w:pPr>
              <w:pStyle w:val="Normal"/>
              <w:widowControl w:val="false"/>
              <w:spacing w:before="0" w:after="160"/>
              <w:rPr/>
            </w:pPr>
            <w:r>
              <w:rPr/>
              <w:t xml:space="preserve">AI-designed protein tested in live animal models (e.g., mouse); demonstrates safety, pharmacokinetics, and therapeutic effect </w:t>
            </w:r>
            <w:r>
              <w:rPr>
                <w:i/>
                <w:iCs/>
              </w:rPr>
              <w:t>in vivo</w:t>
            </w:r>
            <w:r>
              <w:rPr/>
              <w:t>; GMP-grade production process established</w:t>
            </w:r>
          </w:p>
        </w:tc>
      </w:tr>
      <w:tr>
        <w:trPr/>
        <w:tc>
          <w:tcPr>
            <w:tcW w:w="847"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b/>
                <w:bCs/>
              </w:rPr>
              <w:t>TRL 8</w:t>
            </w:r>
          </w:p>
        </w:tc>
        <w:tc>
          <w:tcPr>
            <w:tcW w:w="2835" w:type="dxa"/>
            <w:tcBorders>
              <w:top w:val="single" w:sz="2" w:space="0" w:color="E3E3E3"/>
              <w:left w:val="single" w:sz="2" w:space="0" w:color="E3E3E3"/>
              <w:bottom w:val="single" w:sz="4" w:space="0" w:color="E1E3EA"/>
              <w:right w:val="single" w:sz="4" w:space="0" w:color="E1E3EA"/>
            </w:tcBorders>
            <w:vAlign w:val="center"/>
          </w:tcPr>
          <w:p>
            <w:pPr>
              <w:pStyle w:val="Normal"/>
              <w:widowControl w:val="false"/>
              <w:spacing w:before="0" w:after="160"/>
              <w:rPr/>
            </w:pPr>
            <w:r>
              <w:rPr/>
              <w:t>System complete and qualified</w:t>
            </w:r>
          </w:p>
        </w:tc>
        <w:tc>
          <w:tcPr>
            <w:tcW w:w="5387" w:type="dxa"/>
            <w:tcBorders>
              <w:top w:val="single" w:sz="2" w:space="0" w:color="E3E3E3"/>
              <w:left w:val="single" w:sz="2" w:space="0" w:color="E3E3E3"/>
              <w:bottom w:val="single" w:sz="4" w:space="0" w:color="E1E3EA"/>
            </w:tcBorders>
            <w:vAlign w:val="center"/>
          </w:tcPr>
          <w:p>
            <w:pPr>
              <w:pStyle w:val="Normal"/>
              <w:widowControl w:val="false"/>
              <w:spacing w:before="0" w:after="160"/>
              <w:rPr/>
            </w:pPr>
            <w:r>
              <w:rPr/>
              <w:t>AI-designed protein completes Phase I/II clinical trials (for therapeutics) or industrial pilot-scale production (for enzymes); regulatory documentation submitted; manufacturing fully validated</w:t>
            </w:r>
          </w:p>
        </w:tc>
      </w:tr>
      <w:tr>
        <w:trPr/>
        <w:tc>
          <w:tcPr>
            <w:tcW w:w="847" w:type="dxa"/>
            <w:tcBorders>
              <w:top w:val="single" w:sz="2" w:space="0" w:color="E3E3E3"/>
              <w:left w:val="single" w:sz="2" w:space="0" w:color="E3E3E3"/>
              <w:right w:val="single" w:sz="4" w:space="0" w:color="E1E3EA"/>
            </w:tcBorders>
            <w:vAlign w:val="center"/>
          </w:tcPr>
          <w:p>
            <w:pPr>
              <w:pStyle w:val="Normal"/>
              <w:widowControl w:val="false"/>
              <w:spacing w:before="0" w:after="160"/>
              <w:rPr/>
            </w:pPr>
            <w:r>
              <w:rPr>
                <w:b/>
                <w:bCs/>
              </w:rPr>
              <w:t>TRL 9</w:t>
            </w:r>
          </w:p>
        </w:tc>
        <w:tc>
          <w:tcPr>
            <w:tcW w:w="2835" w:type="dxa"/>
            <w:tcBorders>
              <w:top w:val="single" w:sz="2" w:space="0" w:color="E3E3E3"/>
              <w:left w:val="single" w:sz="2" w:space="0" w:color="E3E3E3"/>
              <w:right w:val="single" w:sz="4" w:space="0" w:color="E1E3EA"/>
            </w:tcBorders>
            <w:vAlign w:val="center"/>
          </w:tcPr>
          <w:p>
            <w:pPr>
              <w:pStyle w:val="Normal"/>
              <w:widowControl w:val="false"/>
              <w:spacing w:before="0" w:after="160"/>
              <w:rPr/>
            </w:pPr>
            <w:r>
              <w:rPr/>
              <w:t>Actual system proven in operational environment</w:t>
            </w:r>
          </w:p>
        </w:tc>
        <w:tc>
          <w:tcPr>
            <w:tcW w:w="5387" w:type="dxa"/>
            <w:tcBorders>
              <w:top w:val="single" w:sz="2" w:space="0" w:color="E3E3E3"/>
              <w:left w:val="single" w:sz="2" w:space="0" w:color="E3E3E3"/>
            </w:tcBorders>
            <w:vAlign w:val="center"/>
          </w:tcPr>
          <w:p>
            <w:pPr>
              <w:pStyle w:val="Normal"/>
              <w:widowControl w:val="false"/>
              <w:spacing w:before="0" w:after="160"/>
              <w:rPr/>
            </w:pPr>
            <w:r>
              <w:rPr/>
              <w:t>AI-designed protein approved for clinical/commercial use (e.g., FDA/EMA approval); deployed at scale in real-world settings (e.g., therapeutic on market, industrial enzyme in bioreactors)</w:t>
            </w:r>
          </w:p>
        </w:tc>
      </w:tr>
    </w:tbl>
    <w:p>
      <w:pPr>
        <w:pStyle w:val="Normal"/>
        <w:rPr/>
      </w:pPr>
      <w:r>
        <w:rPr/>
        <mc:AlternateContent>
          <mc:Choice Requires="wps">
            <w:drawing>
              <wp:inline distT="0" distB="0" distL="0" distR="0">
                <wp:extent cx="635" cy="19050"/>
                <wp:effectExtent l="0" t="0" r="0" b="0"/>
                <wp:docPr id="1" name="Shape1"/>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rPr>
          <w:b/>
          <w:b/>
          <w:bCs/>
        </w:rPr>
      </w:pPr>
      <w:r>
        <w:rPr>
          <w:b/>
          <w:bCs/>
        </w:rPr>
        <w:t>Key Context for EU Applicants (2026)</w:t>
      </w:r>
    </w:p>
    <w:p>
      <w:pPr>
        <w:pStyle w:val="Normal"/>
        <w:numPr>
          <w:ilvl w:val="0"/>
          <w:numId w:val="9"/>
        </w:numPr>
        <w:rPr/>
      </w:pPr>
      <w:r>
        <w:rPr>
          <w:b/>
          <w:bCs/>
        </w:rPr>
        <w:t>Current state of the art</w:t>
      </w:r>
      <w:r>
        <w:rPr/>
        <w:t xml:space="preserve">: Leading tools like </w:t>
      </w:r>
      <w:r>
        <w:rPr>
          <w:b/>
          <w:bCs/>
        </w:rPr>
        <w:t>RFdiffusion</w:t>
      </w:r>
      <w:r>
        <w:rPr/>
        <w:t xml:space="preserve"> and </w:t>
      </w:r>
      <w:r>
        <w:rPr>
          <w:b/>
          <w:bCs/>
        </w:rPr>
        <w:t>Chroma</w:t>
      </w:r>
      <w:r>
        <w:rPr/>
        <w:t xml:space="preserve"> typically deliver designs at </w:t>
      </w:r>
      <w:r>
        <w:rPr>
          <w:b/>
          <w:bCs/>
        </w:rPr>
        <w:t>TRL 4–5</w:t>
      </w:r>
      <w:r>
        <w:rPr/>
        <w:t>—</w:t>
      </w:r>
      <w:r>
        <w:rPr>
          <w:i/>
          <w:iCs/>
        </w:rPr>
        <w:t>in silico</w:t>
      </w:r>
      <w:r>
        <w:rPr/>
        <w:t xml:space="preserve"> success with moderate experimental validation rates (~20%) </w:t>
      </w:r>
    </w:p>
    <w:p>
      <w:pPr>
        <w:pStyle w:val="Normal"/>
        <w:rPr/>
      </w:pPr>
      <w:r>
        <w:rPr/>
        <w:t>www.sciencedirect.com</w:t>
      </w:r>
    </w:p>
    <w:p>
      <w:pPr>
        <w:pStyle w:val="Normal"/>
        <w:rPr/>
      </w:pPr>
      <w:r>
        <w:rPr/>
        <w:t>. True functional validation in complex environments remains challenging.</w:t>
      </w:r>
    </w:p>
    <w:p>
      <w:pPr>
        <w:pStyle w:val="Normal"/>
        <w:numPr>
          <w:ilvl w:val="0"/>
          <w:numId w:val="9"/>
        </w:numPr>
        <w:rPr/>
      </w:pPr>
      <w:r>
        <w:rPr>
          <w:b/>
          <w:bCs/>
        </w:rPr>
        <w:t>Horizon Europe alignment</w:t>
      </w:r>
      <w:r>
        <w:rPr/>
        <w:t>:</w:t>
      </w:r>
    </w:p>
    <w:p>
      <w:pPr>
        <w:pStyle w:val="Normal"/>
        <w:numPr>
          <w:ilvl w:val="1"/>
          <w:numId w:val="9"/>
        </w:numPr>
        <w:rPr/>
      </w:pPr>
      <w:r>
        <w:rPr>
          <w:b/>
          <w:bCs/>
        </w:rPr>
        <w:t>ERC Starting/Consolidator Grants, Pathfinder</w:t>
      </w:r>
      <w:r>
        <w:rPr/>
        <w:t xml:space="preserve">: Target </w:t>
      </w:r>
      <w:r>
        <w:rPr>
          <w:b/>
          <w:bCs/>
        </w:rPr>
        <w:t>TRL 1–4</w:t>
      </w:r>
      <w:r>
        <w:rPr/>
        <w:t xml:space="preserve"> (novel AI architectures, new design paradigms)</w:t>
      </w:r>
    </w:p>
    <w:p>
      <w:pPr>
        <w:pStyle w:val="Normal"/>
        <w:numPr>
          <w:ilvl w:val="1"/>
          <w:numId w:val="9"/>
        </w:numPr>
        <w:rPr/>
      </w:pPr>
      <w:r>
        <w:rPr>
          <w:b/>
          <w:bCs/>
        </w:rPr>
        <w:t>EIC Transition</w:t>
      </w:r>
      <w:r>
        <w:rPr/>
        <w:t xml:space="preserve">: Bridges </w:t>
      </w:r>
      <w:r>
        <w:rPr>
          <w:b/>
          <w:bCs/>
        </w:rPr>
        <w:t>TRL 4 → 6</w:t>
      </w:r>
      <w:r>
        <w:rPr/>
        <w:t xml:space="preserve"> (lab-to-prototype validation)</w:t>
      </w:r>
    </w:p>
    <w:p>
      <w:pPr>
        <w:pStyle w:val="Normal"/>
        <w:numPr>
          <w:ilvl w:val="1"/>
          <w:numId w:val="9"/>
        </w:numPr>
        <w:rPr/>
      </w:pPr>
      <w:r>
        <w:rPr>
          <w:b/>
          <w:bCs/>
        </w:rPr>
        <w:t>EIC Accelerator, Innovation Actions</w:t>
      </w:r>
      <w:r>
        <w:rPr/>
        <w:t xml:space="preserve">: Require </w:t>
      </w:r>
      <w:r>
        <w:rPr>
          <w:b/>
          <w:bCs/>
        </w:rPr>
        <w:t>TRL 5–6+</w:t>
      </w:r>
      <w:r>
        <w:rPr/>
        <w:t xml:space="preserve"> with clear path to </w:t>
      </w:r>
      <w:r>
        <w:rPr>
          <w:b/>
          <w:bCs/>
        </w:rPr>
        <w:t>TRL 8–9</w:t>
      </w:r>
      <w:r>
        <w:rPr/>
        <w:t xml:space="preserve"> (commercialization)</w:t>
      </w:r>
    </w:p>
    <w:p>
      <w:pPr>
        <w:pStyle w:val="Normal"/>
        <w:numPr>
          <w:ilvl w:val="0"/>
          <w:numId w:val="9"/>
        </w:numPr>
        <w:rPr/>
      </w:pPr>
      <w:r>
        <w:rPr>
          <w:b/>
          <w:bCs/>
        </w:rPr>
        <w:t>Critical tip</w:t>
      </w:r>
      <w:r>
        <w:rPr/>
        <w:t xml:space="preserve">: When claiming a TRL, provide </w:t>
      </w:r>
      <w:r>
        <w:rPr>
          <w:i/>
          <w:iCs/>
        </w:rPr>
        <w:t>evidence</w:t>
      </w:r>
      <w:r>
        <w:rPr/>
        <w:t>:</w:t>
      </w:r>
    </w:p>
    <w:p>
      <w:pPr>
        <w:pStyle w:val="Normal"/>
        <w:numPr>
          <w:ilvl w:val="1"/>
          <w:numId w:val="9"/>
        </w:numPr>
        <w:rPr/>
      </w:pPr>
      <w:r>
        <w:rPr/>
        <w:t>TRL 4 → CD/NMR/X-ray structure of AI-designed protein</w:t>
      </w:r>
    </w:p>
    <w:p>
      <w:pPr>
        <w:pStyle w:val="Normal"/>
        <w:numPr>
          <w:ilvl w:val="1"/>
          <w:numId w:val="9"/>
        </w:numPr>
        <w:rPr/>
      </w:pPr>
      <w:r>
        <w:rPr/>
        <w:t>TRL 5 → Binding affinity (KD) or enzymatic activity data</w:t>
      </w:r>
    </w:p>
    <w:p>
      <w:pPr>
        <w:pStyle w:val="Normal"/>
        <w:numPr>
          <w:ilvl w:val="1"/>
          <w:numId w:val="9"/>
        </w:numPr>
        <w:rPr/>
      </w:pPr>
      <w:r>
        <w:rPr/>
        <w:t>TRL 6 → Cell-based functional assay results</w:t>
      </w:r>
    </w:p>
    <w:p>
      <w:pPr>
        <w:pStyle w:val="Normal"/>
        <w:rPr>
          <w:lang w:val="en-GB"/>
        </w:rPr>
      </w:pPr>
      <w:r>
        <w:rPr>
          <w:lang w:val="en-GB"/>
        </w:rPr>
      </w:r>
    </w:p>
    <w:p>
      <w:pPr>
        <w:pStyle w:val="Normal"/>
        <w:rPr>
          <w:lang w:val="en-GB"/>
        </w:rPr>
      </w:pPr>
      <w:r>
        <w:rPr>
          <w:lang w:val="en-GB"/>
        </w:rPr>
        <w:t>IZUM 1Mio</w:t>
      </w:r>
    </w:p>
    <w:p>
      <w:pPr>
        <w:pStyle w:val="Normal"/>
        <w:rPr>
          <w:lang w:val="en-GB"/>
        </w:rPr>
      </w:pPr>
      <w:r>
        <w:rPr>
          <w:lang w:val="en-GB"/>
        </w:rPr>
        <w:t>Bekir 1,5 Mio</w:t>
      </w:r>
    </w:p>
    <w:p>
      <w:pPr>
        <w:pStyle w:val="Normal"/>
        <w:rPr>
          <w:lang w:val="en-GB"/>
        </w:rPr>
      </w:pPr>
      <w:r>
        <w:rPr>
          <w:lang w:val="en-GB"/>
        </w:rPr>
        <w:t>Crystallography 0,5 - 1Mio</w:t>
      </w:r>
    </w:p>
    <w:p>
      <w:pPr>
        <w:pStyle w:val="Normal"/>
        <w:spacing w:before="0" w:after="160"/>
        <w:rPr>
          <w:lang w:val="en-GB"/>
        </w:rPr>
      </w:pPr>
      <w:r>
        <w:rPr>
          <w:lang w:val="en-GB"/>
        </w:rPr>
        <w:t>Enzyme reengineering 0,5 - 1Mio</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5"/>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sl-S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sl-SI"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sl-SI" w:eastAsia="en-US" w:bidi="ar-SA"/>
      <w14:ligatures w14:val="standardContextual"/>
    </w:rPr>
  </w:style>
  <w:style w:type="paragraph" w:styleId="Heading1">
    <w:name w:val="Heading 1"/>
    <w:basedOn w:val="Normal"/>
    <w:next w:val="Normal"/>
    <w:link w:val="Naslov1Znak"/>
    <w:uiPriority w:val="9"/>
    <w:qFormat/>
    <w:rsid w:val="00ac6ea8"/>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Naslov2Znak"/>
    <w:uiPriority w:val="9"/>
    <w:semiHidden/>
    <w:unhideWhenUsed/>
    <w:qFormat/>
    <w:rsid w:val="00ac6ea8"/>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Naslov3Znak"/>
    <w:uiPriority w:val="9"/>
    <w:semiHidden/>
    <w:unhideWhenUsed/>
    <w:qFormat/>
    <w:rsid w:val="00ac6ea8"/>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Naslov4Znak"/>
    <w:uiPriority w:val="9"/>
    <w:semiHidden/>
    <w:unhideWhenUsed/>
    <w:qFormat/>
    <w:rsid w:val="00ac6ea8"/>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Naslov5Znak"/>
    <w:uiPriority w:val="9"/>
    <w:semiHidden/>
    <w:unhideWhenUsed/>
    <w:qFormat/>
    <w:rsid w:val="00ac6ea8"/>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Naslov6Znak"/>
    <w:uiPriority w:val="9"/>
    <w:semiHidden/>
    <w:unhideWhenUsed/>
    <w:qFormat/>
    <w:rsid w:val="00ac6ea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Naslov7Znak"/>
    <w:uiPriority w:val="9"/>
    <w:semiHidden/>
    <w:unhideWhenUsed/>
    <w:qFormat/>
    <w:rsid w:val="00ac6ea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Naslov8Znak"/>
    <w:uiPriority w:val="9"/>
    <w:semiHidden/>
    <w:unhideWhenUsed/>
    <w:qFormat/>
    <w:rsid w:val="00ac6ea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Naslov9Znak"/>
    <w:uiPriority w:val="9"/>
    <w:semiHidden/>
    <w:unhideWhenUsed/>
    <w:qFormat/>
    <w:rsid w:val="00ac6ea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Naslov1Znak" w:customStyle="1">
    <w:name w:val="Naslov 1 Znak"/>
    <w:basedOn w:val="DefaultParagraphFont"/>
    <w:link w:val="Heading1"/>
    <w:uiPriority w:val="9"/>
    <w:qFormat/>
    <w:rsid w:val="00ac6ea8"/>
    <w:rPr>
      <w:rFonts w:ascii="Aptos Display" w:hAnsi="Aptos Display" w:eastAsia="" w:cs="" w:asciiTheme="majorHAnsi" w:cstheme="majorBidi" w:eastAsiaTheme="majorEastAsia" w:hAnsiTheme="majorHAnsi"/>
      <w:color w:val="0F4761" w:themeColor="accent1" w:themeShade="bf"/>
      <w:sz w:val="40"/>
      <w:szCs w:val="40"/>
    </w:rPr>
  </w:style>
  <w:style w:type="character" w:styleId="Naslov2Znak" w:customStyle="1">
    <w:name w:val="Naslov 2 Znak"/>
    <w:basedOn w:val="DefaultParagraphFont"/>
    <w:link w:val="Heading2"/>
    <w:uiPriority w:val="9"/>
    <w:semiHidden/>
    <w:qFormat/>
    <w:rsid w:val="00ac6ea8"/>
    <w:rPr>
      <w:rFonts w:ascii="Aptos Display" w:hAnsi="Aptos Display" w:eastAsia="" w:cs="" w:asciiTheme="majorHAnsi" w:cstheme="majorBidi" w:eastAsiaTheme="majorEastAsia" w:hAnsiTheme="majorHAnsi"/>
      <w:color w:val="0F4761" w:themeColor="accent1" w:themeShade="bf"/>
      <w:sz w:val="32"/>
      <w:szCs w:val="32"/>
    </w:rPr>
  </w:style>
  <w:style w:type="character" w:styleId="Naslov3Znak" w:customStyle="1">
    <w:name w:val="Naslov 3 Znak"/>
    <w:basedOn w:val="DefaultParagraphFont"/>
    <w:link w:val="Heading3"/>
    <w:uiPriority w:val="9"/>
    <w:semiHidden/>
    <w:qFormat/>
    <w:rsid w:val="00ac6ea8"/>
    <w:rPr>
      <w:rFonts w:eastAsia="" w:cs="" w:cstheme="majorBidi" w:eastAsiaTheme="majorEastAsia"/>
      <w:color w:val="0F4761" w:themeColor="accent1" w:themeShade="bf"/>
      <w:sz w:val="28"/>
      <w:szCs w:val="28"/>
    </w:rPr>
  </w:style>
  <w:style w:type="character" w:styleId="Naslov4Znak" w:customStyle="1">
    <w:name w:val="Naslov 4 Znak"/>
    <w:basedOn w:val="DefaultParagraphFont"/>
    <w:link w:val="Heading4"/>
    <w:uiPriority w:val="9"/>
    <w:semiHidden/>
    <w:qFormat/>
    <w:rsid w:val="00ac6ea8"/>
    <w:rPr>
      <w:rFonts w:eastAsia="" w:cs="" w:cstheme="majorBidi" w:eastAsiaTheme="majorEastAsia"/>
      <w:i/>
      <w:iCs/>
      <w:color w:val="0F4761" w:themeColor="accent1" w:themeShade="bf"/>
    </w:rPr>
  </w:style>
  <w:style w:type="character" w:styleId="Naslov5Znak" w:customStyle="1">
    <w:name w:val="Naslov 5 Znak"/>
    <w:basedOn w:val="DefaultParagraphFont"/>
    <w:link w:val="Heading5"/>
    <w:uiPriority w:val="9"/>
    <w:semiHidden/>
    <w:qFormat/>
    <w:rsid w:val="00ac6ea8"/>
    <w:rPr>
      <w:rFonts w:eastAsia="" w:cs="" w:cstheme="majorBidi" w:eastAsiaTheme="majorEastAsia"/>
      <w:color w:val="0F4761" w:themeColor="accent1" w:themeShade="bf"/>
    </w:rPr>
  </w:style>
  <w:style w:type="character" w:styleId="Naslov6Znak" w:customStyle="1">
    <w:name w:val="Naslov 6 Znak"/>
    <w:basedOn w:val="DefaultParagraphFont"/>
    <w:link w:val="Heading6"/>
    <w:uiPriority w:val="9"/>
    <w:semiHidden/>
    <w:qFormat/>
    <w:rsid w:val="00ac6ea8"/>
    <w:rPr>
      <w:rFonts w:eastAsia="" w:cs="" w:cstheme="majorBidi" w:eastAsiaTheme="majorEastAsia"/>
      <w:i/>
      <w:iCs/>
      <w:color w:val="595959" w:themeColor="text1" w:themeTint="a6"/>
    </w:rPr>
  </w:style>
  <w:style w:type="character" w:styleId="Naslov7Znak" w:customStyle="1">
    <w:name w:val="Naslov 7 Znak"/>
    <w:basedOn w:val="DefaultParagraphFont"/>
    <w:link w:val="Heading7"/>
    <w:uiPriority w:val="9"/>
    <w:semiHidden/>
    <w:qFormat/>
    <w:rsid w:val="00ac6ea8"/>
    <w:rPr>
      <w:rFonts w:eastAsia="" w:cs="" w:cstheme="majorBidi" w:eastAsiaTheme="majorEastAsia"/>
      <w:color w:val="595959" w:themeColor="text1" w:themeTint="a6"/>
    </w:rPr>
  </w:style>
  <w:style w:type="character" w:styleId="Naslov8Znak" w:customStyle="1">
    <w:name w:val="Naslov 8 Znak"/>
    <w:basedOn w:val="DefaultParagraphFont"/>
    <w:link w:val="Heading8"/>
    <w:uiPriority w:val="9"/>
    <w:semiHidden/>
    <w:qFormat/>
    <w:rsid w:val="00ac6ea8"/>
    <w:rPr>
      <w:rFonts w:eastAsia="" w:cs="" w:cstheme="majorBidi" w:eastAsiaTheme="majorEastAsia"/>
      <w:i/>
      <w:iCs/>
      <w:color w:val="272727" w:themeColor="text1" w:themeTint="d8"/>
    </w:rPr>
  </w:style>
  <w:style w:type="character" w:styleId="Naslov9Znak" w:customStyle="1">
    <w:name w:val="Naslov 9 Znak"/>
    <w:basedOn w:val="DefaultParagraphFont"/>
    <w:link w:val="Heading9"/>
    <w:uiPriority w:val="9"/>
    <w:semiHidden/>
    <w:qFormat/>
    <w:rsid w:val="00ac6ea8"/>
    <w:rPr>
      <w:rFonts w:eastAsia="" w:cs="" w:cstheme="majorBidi" w:eastAsiaTheme="majorEastAsia"/>
      <w:color w:val="272727" w:themeColor="text1" w:themeTint="d8"/>
    </w:rPr>
  </w:style>
  <w:style w:type="character" w:styleId="NaslovZnak" w:customStyle="1">
    <w:name w:val="Naslov Znak"/>
    <w:basedOn w:val="DefaultParagraphFont"/>
    <w:link w:val="Title"/>
    <w:uiPriority w:val="10"/>
    <w:qFormat/>
    <w:rsid w:val="00ac6ea8"/>
    <w:rPr>
      <w:rFonts w:ascii="Aptos Display" w:hAnsi="Aptos Display" w:eastAsia="" w:cs="" w:asciiTheme="majorHAnsi" w:cstheme="majorBidi" w:eastAsiaTheme="majorEastAsia" w:hAnsiTheme="majorHAnsi"/>
      <w:spacing w:val="-10"/>
      <w:kern w:val="2"/>
      <w:sz w:val="56"/>
      <w:szCs w:val="56"/>
    </w:rPr>
  </w:style>
  <w:style w:type="character" w:styleId="PodnaslovZnak" w:customStyle="1">
    <w:name w:val="Podnaslov Znak"/>
    <w:basedOn w:val="DefaultParagraphFont"/>
    <w:link w:val="Subtitle"/>
    <w:uiPriority w:val="11"/>
    <w:qFormat/>
    <w:rsid w:val="00ac6ea8"/>
    <w:rPr>
      <w:rFonts w:eastAsia="" w:cs="" w:cstheme="majorBidi" w:eastAsiaTheme="majorEastAsia"/>
      <w:color w:val="595959" w:themeColor="text1" w:themeTint="a6"/>
      <w:spacing w:val="15"/>
      <w:sz w:val="28"/>
      <w:szCs w:val="28"/>
    </w:rPr>
  </w:style>
  <w:style w:type="character" w:styleId="CitatZnak" w:customStyle="1">
    <w:name w:val="Citat Znak"/>
    <w:basedOn w:val="DefaultParagraphFont"/>
    <w:link w:val="Quote"/>
    <w:uiPriority w:val="29"/>
    <w:qFormat/>
    <w:rsid w:val="00ac6ea8"/>
    <w:rPr>
      <w:i/>
      <w:iCs/>
      <w:color w:val="404040" w:themeColor="text1" w:themeTint="bf"/>
    </w:rPr>
  </w:style>
  <w:style w:type="character" w:styleId="IntenseEmphasis">
    <w:name w:val="Intense Emphasis"/>
    <w:basedOn w:val="DefaultParagraphFont"/>
    <w:uiPriority w:val="21"/>
    <w:qFormat/>
    <w:rsid w:val="00ac6ea8"/>
    <w:rPr>
      <w:i/>
      <w:iCs/>
      <w:color w:val="0F4761" w:themeColor="accent1" w:themeShade="bf"/>
    </w:rPr>
  </w:style>
  <w:style w:type="character" w:styleId="IntenzivencitatZnak" w:customStyle="1">
    <w:name w:val="Intenziven citat Znak"/>
    <w:basedOn w:val="DefaultParagraphFont"/>
    <w:link w:val="IntenseQuote"/>
    <w:uiPriority w:val="30"/>
    <w:qFormat/>
    <w:rsid w:val="00ac6ea8"/>
    <w:rPr>
      <w:i/>
      <w:iCs/>
      <w:color w:val="0F4761" w:themeColor="accent1" w:themeShade="bf"/>
    </w:rPr>
  </w:style>
  <w:style w:type="character" w:styleId="IntenseReference">
    <w:name w:val="Intense Reference"/>
    <w:basedOn w:val="DefaultParagraphFont"/>
    <w:uiPriority w:val="32"/>
    <w:qFormat/>
    <w:rsid w:val="00ac6ea8"/>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NaslovZnak"/>
    <w:uiPriority w:val="10"/>
    <w:qFormat/>
    <w:rsid w:val="00ac6ea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naslovZnak"/>
    <w:uiPriority w:val="11"/>
    <w:qFormat/>
    <w:rsid w:val="00ac6ea8"/>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Znak"/>
    <w:uiPriority w:val="29"/>
    <w:qFormat/>
    <w:rsid w:val="00ac6ea8"/>
    <w:pPr>
      <w:spacing w:before="160" w:after="160"/>
      <w:jc w:val="center"/>
    </w:pPr>
    <w:rPr>
      <w:i/>
      <w:iCs/>
      <w:color w:val="404040" w:themeColor="text1" w:themeTint="bf"/>
    </w:rPr>
  </w:style>
  <w:style w:type="paragraph" w:styleId="ListParagraph">
    <w:name w:val="List Paragraph"/>
    <w:basedOn w:val="Normal"/>
    <w:uiPriority w:val="34"/>
    <w:qFormat/>
    <w:rsid w:val="00ac6ea8"/>
    <w:pPr>
      <w:spacing w:before="0" w:after="160"/>
      <w:ind w:left="720" w:hanging="0"/>
      <w:contextualSpacing/>
    </w:pPr>
    <w:rPr/>
  </w:style>
  <w:style w:type="paragraph" w:styleId="IntenseQuote">
    <w:name w:val="Intense Quote"/>
    <w:basedOn w:val="Normal"/>
    <w:next w:val="Normal"/>
    <w:link w:val="IntenzivencitatZnak"/>
    <w:uiPriority w:val="30"/>
    <w:qFormat/>
    <w:rsid w:val="00ac6ea8"/>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Application>LibreOffice/7.3.7.2$Linux_X86_64 LibreOffice_project/30$Build-2</Application>
  <AppVersion>15.0000</AppVersion>
  <Pages>7</Pages>
  <Words>1476</Words>
  <Characters>9096</Characters>
  <CharactersWithSpaces>10468</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2026-02-10T11:40:00Z</dcterms:created>
  <dc:creator>Žiga Zebec</dc:creator>
  <dc:description/>
  <dc:language>en-US</dc:language>
  <cp:lastModifiedBy/>
  <dcterms:modified xsi:type="dcterms:W3CDTF">2026-03-10T09:26:44Z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