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wmf" ContentType="image/x-wmf"/>
  <Override PartName="/word/media/image2.png" ContentType="image/png"/>
  <Override PartName="/word/media/image25.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MDPI13authornames"/>
        <w:rPr>
          <w:sz w:val="36"/>
          <w:szCs w:val="20"/>
        </w:rPr>
      </w:pPr>
      <w:r>
        <w:rPr>
          <w:sz w:val="36"/>
          <w:szCs w:val="20"/>
        </w:rPr>
        <w:t>Machine Learning-Based Streamflow Forecasti</w:t>
      </w:r>
      <w:r>
        <w:rPr>
          <w:sz w:val="36"/>
          <w:szCs w:val="20"/>
        </w:rPr>
        <w:t xml:space="preserve">ng </w:t>
      </w:r>
      <w:r>
        <w:rPr>
          <w:sz w:val="36"/>
          <w:szCs w:val="20"/>
        </w:rPr>
        <w:t>in the Bosna River Basin (Bosnia and Herzegovina)</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xml:space="preserve">* and Marko Ðukanović </w:t>
      </w:r>
      <w:r>
        <w:rPr>
          <w:vertAlign w:val="superscript"/>
        </w:rPr>
        <w:t>3</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r>
        <w:rPr/>
        <w:t xml:space="preserve">; </w:t>
      </w:r>
    </w:p>
    <w:p>
      <w:pPr>
        <w:pStyle w:val="MDPI16affiliation"/>
        <w:rPr/>
      </w:pPr>
      <w:r>
        <w:rPr>
          <w:vertAlign w:val="superscript"/>
        </w:rPr>
        <w:t>2</w:t>
      </w:r>
      <w:r>
        <w:rPr/>
        <w:tab/>
        <w:t xml:space="preserve">Institute of Hydrology SAS, Dúbravská cesta 9, Bratislava 841 04, Slovak Republic; </w:t>
      </w:r>
      <w:hyperlink r:id="rId5">
        <w:r>
          <w:rPr>
            <w:rStyle w:val="InternetLink"/>
          </w:rPr>
          <w:t>lescesen@uh.savba.sk</w:t>
        </w:r>
      </w:hyperlink>
    </w:p>
    <w:p>
      <w:pPr>
        <w:pStyle w:val="MDPI16affiliation"/>
        <w:ind w:hanging="0"/>
        <w:rPr/>
      </w:pPr>
      <w:r>
        <w:rPr>
          <w:vertAlign w:val="superscript"/>
        </w:rPr>
        <w:t xml:space="preserve">3      </w:t>
      </w:r>
      <w:r>
        <w:rPr/>
        <w:t>University of Nova Gorica</w:t>
      </w:r>
      <w:r>
        <w:rPr/>
        <w:t xml:space="preserve">, Vipavska cesta 13, Rožna Dolina 5000 Nova </w:t>
      </w:r>
      <w:r>
        <w:rPr/>
        <w:t>Gorica, Slovenia</w:t>
      </w:r>
      <w:r>
        <w:rPr/>
        <w:t xml:space="preserve">; </w:t>
      </w:r>
      <w:hyperlink r:id="rId6">
        <w:r>
          <w:rPr>
            <w:rStyle w:val="InternetLink"/>
          </w:rPr>
          <w:t>marko.dukanovic@</w:t>
        </w:r>
        <w:r>
          <w:rPr>
            <w:rStyle w:val="InternetLink"/>
          </w:rPr>
          <w:t>ung.si</w:t>
        </w:r>
      </w:hyperlink>
      <w:r>
        <w:rPr/>
        <w:t xml:space="preserve"> </w:t>
      </w:r>
    </w:p>
    <w:p>
      <w:pPr>
        <w:pStyle w:val="MDPI16affiliation"/>
        <w:rPr/>
      </w:pPr>
      <w:r>
        <w:rPr>
          <w:b/>
        </w:rPr>
        <w:t>*</w:t>
      </w:r>
      <w:r>
        <w:rPr/>
        <w:tab/>
        <w:t>Correspondence: lescesen@uh.savba.sk</w:t>
      </w:r>
    </w:p>
    <w:p>
      <w:pPr>
        <w:pStyle w:val="MDPI31text"/>
        <w:spacing w:before="60" w:after="0"/>
        <w:ind w:left="2608" w:hanging="0"/>
        <w:rPr>
          <w:b/>
          <w:b/>
          <w:bCs/>
          <w:szCs w:val="20"/>
        </w:rPr>
      </w:pPr>
      <w:r>
        <w:rPr>
          <w:b/>
          <w:bCs/>
          <w:szCs w:val="20"/>
        </w:rPr>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b/>
          <w:bCs/>
        </w:rPr>
        <w:t>Abstract</w:t>
      </w:r>
    </w:p>
    <w:p>
      <w:pPr>
        <w:pStyle w:val="MDPI38bullet"/>
        <w:numPr>
          <w:ilvl w:val="0"/>
          <w:numId w:val="0"/>
        </w:numPr>
        <w:ind w:left="0" w:hanging="0"/>
        <w:rPr/>
      </w:pPr>
      <w:r>
        <w:rPr/>
      </w:r>
    </w:p>
    <w:p>
      <w:pPr>
        <w:pStyle w:val="MDPI38bullet"/>
        <w:numPr>
          <w:ilvl w:val="0"/>
          <w:numId w:val="0"/>
        </w:numPr>
        <w:ind w:left="3033" w:hanging="0"/>
        <w:rPr/>
      </w:pPr>
      <w:r>
        <w:rPr/>
        <w:t>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root mean square err</w:t>
      </w:r>
      <w:r>
        <w:rPr/>
        <w:t>or</w:t>
      </w:r>
      <w:r>
        <w:rPr/>
        <w:t xml:space="preserve">,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w:t>
      </w:r>
      <w:r>
        <w:rPr/>
        <w:t xml:space="preserve">a </w:t>
      </w:r>
      <w:r>
        <w:rPr/>
        <w:t xml:space="preserve">NSE of 0.591 and a KGE of 0.591, demonstrating good generalisation and reliable predictions. The results demonstrate the strength of Random Forest in capturing nonlinear hydrological patterns and supporting reliable streamflow forecasting for national water management. </w:t>
      </w:r>
      <w:r>
        <w:rPr>
          <w:color w:val="FF0000"/>
        </w:rPr>
        <w:t xml:space="preserve">Moreover, as a novelty, explainable AI is performed using SHAP analysis to go beyond regular predictions of the models, providing a deeper understanding of the model’s performance described by the magnitude and direction of influence of each problem feature.    </w:t>
      </w:r>
    </w:p>
    <w:p>
      <w:pPr>
        <w:pStyle w:val="MDPI38bullet"/>
        <w:numPr>
          <w:ilvl w:val="0"/>
          <w:numId w:val="0"/>
        </w:numPr>
        <w:ind w:left="3033" w:hanging="0"/>
        <w:rPr>
          <w:color w:val="FF0000"/>
        </w:rPr>
      </w:pPr>
      <w:r>
        <w:rPr>
          <w:color w:val="FF0000"/>
        </w:rPr>
      </w:r>
    </w:p>
    <w:p>
      <w:pPr>
        <w:pStyle w:val="MDPI38bullet"/>
        <w:numPr>
          <w:ilvl w:val="0"/>
          <w:numId w:val="0"/>
        </w:numPr>
        <w:ind w:left="3033" w:hanging="0"/>
        <w:rPr/>
      </w:pPr>
      <w:r>
        <w:rPr>
          <w:b/>
        </w:rPr>
        <w:t xml:space="preserve">Keywords: </w:t>
      </w:r>
      <w:r>
        <w:rPr/>
        <w:t>LSTM; RF; XGBoost; mean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2,3].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 xml:space="preserve">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[11, 12, 11,12,13], Long short- term memory (LSTM) [14, 15, 16], Deep Neural Networks (DNNs) [17, 18], Support Vector Regression (SVR) [19, 19,20], Random Forest (RF) [21, 21,22], Light Gradient Boosting Machine (LGBM) [23, 23,24], and eXtreme Gradient Boosting (XGBoost) [25, 26, 25,26,27], being among the most commonly employed techniques. </w:t>
      </w:r>
      <w:r>
        <w:rPr>
          <w:color w:val="FF0000"/>
        </w:rPr>
        <w:t>On the other hand, several studies have successfully applied alternative HBV- and SWAT-type models based on physical laws of hydrology simulating water movement step-by-step using explicit equations for monthly streamflow prediction. It has been shown particularly useful for simulating stremflows in various basins [57-59].</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at the transition between the limestone formation and the alluvial plain. The upper section of the BRB features a well-developed drainage network, comprising several major and numerous smaller torrential streams that rise significantly during heavy precipitation events, often causing floods. It extends from the river source to the city of Zenica. This upper section of the basin is mainly composed of schists, sandstones, limestones and lacustrine sediments, but, unlike in most other river basins in BH, limestone is of minor effect in the BRB [35].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This segment lacks major tributaries, and the area's geology is predominantly characterised by alluvial sediments. The Bosna River, along with its main affluents, is characterised by the Posavina subtype of the pluvial-nival water regime and exhibits peak streamflow in April and March and minimum streamflow in August and September [36]. Climatic patterns in the Bosna River basin differ from mountainous conditions in the south to continental and moderately continental types in the central and northern segments of the basin [35].</w:t>
      </w:r>
    </w:p>
    <w:p>
      <w:pPr>
        <w:pStyle w:val="MDPI31text"/>
        <w:rPr/>
      </w:pPr>
      <w:r>
        <w:rPr/>
      </w:r>
    </w:p>
    <w:p>
      <w:pPr>
        <w:pStyle w:val="MDPI31text"/>
        <w:jc w:val="left"/>
        <w:rPr/>
      </w:pPr>
      <w:r>
        <w:rPr/>
        <w:drawing>
          <wp:inline distT="0" distB="0" distL="0" distR="0">
            <wp:extent cx="3351530" cy="37325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7"/>
                    <a:stretch>
                      <a:fillRect/>
                    </a:stretch>
                  </pic:blipFill>
                  <pic:spPr bwMode="auto">
                    <a:xfrm>
                      <a:off x="0" y="0"/>
                      <a:ext cx="3351530" cy="373253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[38,39]. XGBoost is a gradient boosting framework that sequentially constructs decision trees, with each new tree aiming to correct the errors of its predecessors [40,41]. Compared with RF, XGBoost provides enhanced control over model complexity through regularisation and learning-rate parameters, and has demonstrated strong performance in hydro-climatic prediction tasks [42,43]. LSTM is a class of recurrent neural networks designed to capture long-term temporal dependencies in sequential data [44,15]. It is included in this study to assess whether deep learning models can extract additional predictive skill from long-term hydro-climatic time series compared with tree-based ensemble methods, as demonstrated in recent rainfall–runoff and streamflow forecasting studies [45,46].</w:t>
      </w:r>
    </w:p>
    <w:p>
      <w:pPr>
        <w:pStyle w:val="MDPI31text"/>
        <w:rPr/>
      </w:pPr>
      <w:r>
        <w:rPr/>
        <w:t>Together, these models represent complementary modelling paradigms: bagging-based ensembles (RF), boosting-based ensembles (XGBoost), and sequence-based deep learning (LSTM).</w:t>
      </w:r>
    </w:p>
    <w:p>
      <w:pPr>
        <w:pStyle w:val="MDPI31text"/>
        <w:ind w:left="2608" w:hanging="0"/>
        <w:rPr/>
      </w:pPr>
      <w:r>
        <w:rPr/>
        <w:t xml:space="preserve">  </w:t>
      </w:r>
      <w:r>
        <w:rPr>
          <w:color w:val="C9211E"/>
        </w:rPr>
        <w:t xml:space="preserve">  </w:t>
      </w:r>
      <w:r>
        <w:rPr>
          <w:color w:val="C9211E"/>
        </w:rPr>
        <w:t xml:space="preserve">All experiments were conducted using the Python programming language. The implementation relies on widely used open-source libraries to ensure reproducibility and transparency. The XGBoost model was implemented using the </w:t>
      </w:r>
      <w:r>
        <w:rPr>
          <w:i w:val="false"/>
          <w:iCs w:val="false"/>
          <w:color w:val="C9211E"/>
        </w:rPr>
        <w:t>xgboost</w:t>
      </w:r>
      <w:r>
        <w:rPr>
          <w:color w:val="C9211E"/>
        </w:rPr>
        <w:t xml:space="preserve"> library (</w:t>
      </w:r>
      <w:r>
        <w:rPr>
          <w:i/>
          <w:iCs/>
          <w:color w:val="C9211E"/>
        </w:rPr>
        <w:t xml:space="preserve">XGBRegressor). </w:t>
      </w:r>
      <w:r>
        <w:rPr>
          <w:color w:val="C9211E"/>
        </w:rPr>
        <w:t>Random Forest models were implemented using the scikit-learn library (</w:t>
      </w:r>
      <w:r>
        <w:rPr>
          <w:i/>
          <w:iCs/>
          <w:color w:val="C9211E"/>
        </w:rPr>
        <w:t>RandomForestRegressor</w:t>
      </w:r>
      <w:r>
        <w:rPr>
          <w:color w:val="C9211E"/>
        </w:rPr>
        <w:t xml:space="preserve">). The LSTM model was developed using the TensorFlow framework with the </w:t>
      </w:r>
      <w:r>
        <w:rPr>
          <w:i/>
          <w:iCs/>
          <w:color w:val="C9211E"/>
        </w:rPr>
        <w:t>Keras</w:t>
      </w:r>
      <w:r>
        <w:rPr>
          <w:color w:val="C9211E"/>
        </w:rPr>
        <w:t xml:space="preserve"> high-level API. Hyperparameter tuning and model selection were performed using </w:t>
      </w:r>
      <w:r>
        <w:rPr>
          <w:i/>
          <w:iCs/>
          <w:color w:val="C9211E"/>
        </w:rPr>
        <w:t>GridSearchCV</w:t>
      </w:r>
      <w:r>
        <w:rPr>
          <w:color w:val="C9211E"/>
        </w:rPr>
        <w:t xml:space="preserve"> from scikit-learn. combined with </w:t>
      </w:r>
      <w:r>
        <w:rPr>
          <w:i/>
          <w:iCs/>
          <w:color w:val="C9211E"/>
        </w:rPr>
        <w:t>TimeSeriesSplit</w:t>
      </w:r>
      <w:r>
        <w:rPr>
          <w:color w:val="C9211E"/>
        </w:rPr>
        <w:t xml:space="preserve"> to ensure temporally consistent cross-validation.  </w:t>
      </w:r>
    </w:p>
    <w:p>
      <w:pPr>
        <w:pStyle w:val="MDPI31text"/>
        <w:rPr/>
      </w:pPr>
      <w:r>
        <w:rPr/>
        <w:t xml:space="preserve"> </w:t>
      </w:r>
    </w:p>
    <w:p>
      <w:pPr>
        <w:pStyle w:val="MDPI31text"/>
        <w:rPr/>
      </w:pPr>
      <w:r>
        <w:rPr/>
      </w:r>
    </w:p>
    <w:p>
      <w:pPr>
        <w:pStyle w:val="MDPI31text"/>
        <w:rPr/>
      </w:pPr>
      <w:r>
        <w:rPr/>
        <w:t xml:space="preserve">2.4. </w:t>
      </w:r>
      <w:r>
        <w:rPr>
          <w:i/>
          <w:iCs/>
        </w:rPr>
        <w:t>Feature Engineering and Lagged Variables</w:t>
      </w:r>
    </w:p>
    <w:p>
      <w:pPr>
        <w:pStyle w:val="MDPI31text"/>
        <w:rPr/>
      </w:pPr>
      <w:r>
        <w:rPr/>
      </w:r>
    </w:p>
    <w:p>
      <w:pPr>
        <w:pStyle w:val="MDPI31text"/>
        <w:rPr>
          <w:lang w:val="en-GB"/>
        </w:rPr>
      </w:pPr>
      <w:bookmarkStart w:id="0" w:name="_Hlk221601577"/>
      <w:r>
        <w:rPr>
          <w:lang w:val="en-GB"/>
        </w:rPr>
        <w:t xml:space="preserve">To account for hydrological memory and delayed catchment responses, lagged predictor variables were incorporated into the modelling framework </w:t>
      </w:r>
      <w:r>
        <w:rPr>
          <w:color w:val="C9211E"/>
          <w:lang w:val="en-GB"/>
        </w:rPr>
        <w:t>generating them independently for each station and time step (</w:t>
      </w:r>
      <w:r>
        <w:rPr>
          <w:i/>
          <w:iCs/>
          <w:color w:val="C9211E"/>
          <w:lang w:val="en-GB"/>
        </w:rPr>
        <w:t>t</w:t>
      </w:r>
      <w:r>
        <w:rPr>
          <w:color w:val="C9211E"/>
          <w:lang w:val="en-GB"/>
        </w:rPr>
        <w:t>).</w:t>
      </w:r>
      <w:r>
        <w:rPr>
          <w:lang w:val="en-GB"/>
        </w:rPr>
        <w:t xml:space="preserve"> Let (Pt), (Tt), and (Qt) denote precipitation, air temperature, and streamflow at time step,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w:t>
      </w:r>
      <w:r>
        <w:rPr>
          <w:color w:val="C9211E"/>
          <w:lang w:val="en-GB"/>
        </w:rPr>
        <w:t xml:space="preserve"> Missing values introduced by lagged feature construction were removed using a complete-case approach, excluding them from the training dataset prior to model calibration.</w:t>
      </w:r>
      <w:bookmarkEnd w:id="0"/>
    </w:p>
    <w:p>
      <w:pPr>
        <w:pStyle w:val="MDPI31text"/>
        <w:ind w:left="2608" w:hanging="0"/>
        <w:rPr/>
      </w:pPr>
      <w:r>
        <w:rPr/>
        <w:t xml:space="preserve">Prior to model training, all datasets were merged into a single time-indexed table, where each row corresponds to a monthly observation and columns represent hydro-meteorological variables from all stations. </w:t>
      </w:r>
      <w:r>
        <w:rPr>
          <w:color w:val="C9211E"/>
        </w:rPr>
        <w:t xml:space="preserve">Missing values in temperature data for the Zenica station (July-December 2017) was filled using climatological monthly means computed across all available years. No additional missing values were present after merging.  </w:t>
      </w:r>
    </w:p>
    <w:p>
      <w:pPr>
        <w:pStyle w:val="MDPI31text"/>
        <w:rPr>
          <w:color w:val="C9211E"/>
        </w:rPr>
      </w:pPr>
      <w:r>
        <w:rPr>
          <w:color w:val="C9211E"/>
        </w:rPr>
        <w:t>In the case of LSTM, note that input data are structured as three-dimensional tensors of shape (</w:t>
      </w:r>
      <w:r>
        <w:rPr>
          <w:i/>
          <w:iCs/>
          <w:color w:val="C9211E"/>
        </w:rPr>
        <w:t xml:space="preserve">N, </w:t>
      </w:r>
      <w:r>
        <w:rPr>
          <w:i w:val="false"/>
          <w:iCs w:val="false"/>
          <w:color w:val="C9211E"/>
        </w:rPr>
        <w:t>1</w:t>
      </w:r>
      <w:r>
        <w:rPr>
          <w:i/>
          <w:iCs/>
          <w:color w:val="C9211E"/>
        </w:rPr>
        <w:t>, F</w:t>
      </w:r>
      <w:r>
        <w:rPr>
          <w:color w:val="C9211E"/>
        </w:rPr>
        <w:t xml:space="preserve">), where </w:t>
      </w:r>
      <w:r>
        <w:rPr>
          <w:i/>
          <w:iCs/>
          <w:color w:val="C9211E"/>
        </w:rPr>
        <w:t>N</w:t>
      </w:r>
      <w:r>
        <w:rPr>
          <w:color w:val="C9211E"/>
        </w:rPr>
        <w:t xml:space="preserve"> is the number of samples and </w:t>
      </w:r>
      <w:r>
        <w:rPr>
          <w:i/>
          <w:iCs/>
          <w:color w:val="C9211E"/>
        </w:rPr>
        <w:t>F</w:t>
      </w:r>
      <w:r>
        <w:rPr>
          <w:color w:val="C9211E"/>
        </w:rPr>
        <w:t xml:space="preserve"> the number of input features. A single </w:t>
      </w:r>
      <w:r>
        <w:rPr>
          <w:i/>
          <w:iCs/>
          <w:color w:val="C9211E"/>
        </w:rPr>
        <w:t>timestep</w:t>
      </w:r>
      <w:r>
        <w:rPr>
          <w:color w:val="C9211E"/>
        </w:rPr>
        <w:t xml:space="preserve"> (</w:t>
      </w:r>
      <w:r>
        <w:rPr>
          <w:i/>
          <w:iCs/>
          <w:color w:val="C9211E"/>
        </w:rPr>
        <w:t>timesteps=1</w:t>
      </w:r>
      <w:r>
        <w:rPr>
          <w:color w:val="C9211E"/>
        </w:rPr>
        <w:t xml:space="preserve">) was used, meaning that temporal dependencies were not modeled through sequential input windows, but instead explicitly encoded via lagged features.: lagged precipitation (Pt-1, Pt-2, Pt-3), lagged temperature (Tt-1, Tt-2), and lagged discharge (Qt-1) were included for each station. This approach ensures consistency with the feature representation used in tree-based models while still allowing nonlinear modeling through the LSTM architecture. </w:t>
      </w:r>
      <w:r>
        <w:rPr>
          <w:color w:val="C9211E"/>
        </w:rPr>
        <w:t xml:space="preserve">Note that more lagged precipitation and temperature features have been involved in the experimentation, however, without any significant advantage in the overall results than those presented in the paper. </w:t>
      </w:r>
    </w:p>
    <w:p>
      <w:pPr>
        <w:pStyle w:val="MDPI31text"/>
        <w:rPr>
          <w:color w:val="C9211E"/>
        </w:rPr>
      </w:pPr>
      <w:r>
        <w:rPr>
          <w:color w:val="C9211E"/>
        </w:rPr>
        <w:t>No explicit normalization or scaling of input variables was applied either in the train nor the test phase. While normalization is often recommended for neural networks such LSTM, the model was trained directly on raw values to maintain consistency with tree-based models and preserve the physical interpretability of hydrological variables.</w:t>
      </w:r>
    </w:p>
    <w:p>
      <w:pPr>
        <w:pStyle w:val="MDPI31text"/>
        <w:ind w:left="2608" w:hanging="0"/>
        <w:rPr>
          <w:color w:val="C9211E"/>
        </w:rPr>
      </w:pPr>
      <w:r>
        <w:rPr>
          <w:color w:val="C9211E"/>
        </w:rPr>
      </w:r>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 xml:space="preserve">Model performance was evaluated using hydrologically relevant efficiency metrics. Besides Minimum Absolute Error (MAE) and the Root Mean Square Error (RMSE), Nash–Sutcliffe and Kling–Gupta measures were determined. The Nash–Sutcliffe Efficiency (NSE) </w:t>
      </w:r>
      <w:r>
        <w:rPr/>
        <w:t xml:space="preserve">[60] </w:t>
      </w:r>
      <w:r>
        <w:rPr/>
        <w:t>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8"/>
                    <a:stretch>
                      <a:fillRect/>
                    </a:stretch>
                  </pic:blipFill>
                  <pic:spPr bwMode="auto">
                    <a:xfrm>
                      <a:off x="0" y="0"/>
                      <a:ext cx="1666875" cy="533400"/>
                    </a:xfrm>
                    <a:prstGeom prst="rect">
                      <a:avLst/>
                    </a:prstGeom>
                  </pic:spPr>
                </pic:pic>
              </a:graphicData>
            </a:graphic>
          </wp:inline>
        </w:drawing>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9"/>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10"/>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11"/>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pPr>
      <w:r>
        <w:rPr/>
        <w:t xml:space="preserve">The Kling–Gupta Efficiency (KGE) </w:t>
      </w:r>
      <w:r>
        <w:rPr/>
        <w:t>[60]</w:t>
      </w:r>
      <w:r>
        <w:rPr/>
        <w:t xml:space="preserve">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12"/>
                    <a:stretch>
                      <a:fillRect/>
                    </a:stretch>
                  </pic:blipFill>
                  <pic:spPr bwMode="auto">
                    <a:xfrm>
                      <a:off x="0" y="0"/>
                      <a:ext cx="2581275" cy="247650"/>
                    </a:xfrm>
                    <a:prstGeom prst="rect">
                      <a:avLst/>
                    </a:prstGeom>
                  </pic:spPr>
                </pic:pic>
              </a:graphicData>
            </a:graphic>
          </wp:inline>
        </w:drawing>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3"/>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4"/>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5"/>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color w:val="FF0000"/>
        </w:rPr>
      </w:pPr>
      <w:r>
        <w:rPr>
          <w:color w:val="FF0000"/>
        </w:rPr>
        <w:t>For the sake of completeness, the formula for MAE is defined as</w:t>
      </w:r>
    </w:p>
    <w:p>
      <w:pPr>
        <w:pStyle w:val="MDPI31text"/>
        <w:rPr>
          <w:color w:val="FF0000"/>
        </w:rPr>
      </w:pPr>
      <w:r>
        <w:rPr>
          <w:color w:val="FF0000"/>
        </w:rPr>
        <w:t xml:space="preserve">                  </w:t>
      </w:r>
      <w:r>
        <w:rPr>
          <w:color w:val="FF0000"/>
          <w:u w:val="none"/>
        </w:rPr>
        <w:t xml:space="preserve"> </w:t>
      </w:r>
      <w:r>
        <w:rPr>
          <w:color w:val="FF0000"/>
          <w:u w:val="none"/>
        </w:rPr>
        <w:t>MAE=TODO</w:t>
      </w:r>
    </w:p>
    <w:p>
      <w:pPr>
        <w:pStyle w:val="MDPI31text"/>
        <w:rPr>
          <w:color w:val="FF0000"/>
        </w:rPr>
      </w:pPr>
      <w:r>
        <w:rPr>
          <w:color w:val="FF0000"/>
        </w:rPr>
      </w:r>
    </w:p>
    <w:p>
      <w:pPr>
        <w:pStyle w:val="MDPI31text"/>
        <w:rPr>
          <w:color w:val="FF0000"/>
        </w:rPr>
      </w:pPr>
      <w:r>
        <w:rPr>
          <w:color w:val="FF0000"/>
        </w:rPr>
        <w:t xml:space="preserve">and RMSE as </w:t>
      </w:r>
    </w:p>
    <w:p>
      <w:pPr>
        <w:pStyle w:val="MDPI31text"/>
        <w:jc w:val="left"/>
        <w:rPr>
          <w:color w:val="FF0000"/>
        </w:rPr>
      </w:pPr>
      <w:r>
        <w:rPr>
          <w:color w:val="FF0000"/>
        </w:rPr>
        <w:t>RMSE=TODO</w:t>
      </w:r>
    </w:p>
    <w:p>
      <w:pPr>
        <w:pStyle w:val="MDPI31text"/>
        <w:rPr/>
      </w:pPr>
      <w:r>
        <w:rPr/>
      </w:r>
    </w:p>
    <w:p>
      <w:pPr>
        <w:pStyle w:val="MDPI31text"/>
        <w:rPr/>
      </w:pPr>
      <w:r>
        <w:rPr/>
      </w:r>
    </w:p>
    <w:p>
      <w:pPr>
        <w:pStyle w:val="MDPI31text"/>
        <w:rPr>
          <w:i/>
          <w:i/>
          <w:iCs/>
        </w:rPr>
      </w:pPr>
      <w:r>
        <w:rPr>
          <w:i/>
          <w:iCs/>
        </w:rPr>
        <w:t>2.6. Training, Validation, and Temporal Splitting</w:t>
      </w:r>
    </w:p>
    <w:p>
      <w:pPr>
        <w:pStyle w:val="MDPI31text"/>
        <w:rPr/>
      </w:pPr>
      <w:r>
        <w:rPr/>
      </w:r>
    </w:p>
    <w:p>
      <w:pPr>
        <w:pStyle w:val="MDPI31text"/>
        <w:rPr/>
      </w:pPr>
      <w:r>
        <w:rPr/>
        <w:t>To respect the temporal structure of the data and avoid information leakage, a time-based splitting strategy was adopted. The dataset was divided into training (1961–2010) and testing (2011–2020) periods.</w:t>
      </w:r>
    </w:p>
    <w:p>
      <w:pPr>
        <w:pStyle w:val="MDPI31text"/>
        <w:rPr/>
      </w:pPr>
      <w:r>
        <w:rPr/>
        <w:t>During the training period, rolling-origin cross-validation was performed using a time-series split with 5 folds. In this setup, validation sets always occur chronologically after the corresponding training subsets.</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NS</w:t>
      </w:r>
      <w:r>
        <w:rPr>
          <w:lang w:val="en-GB"/>
        </w:rPr>
        <w:t>E</w:t>
      </w:r>
      <w:r>
        <w:rPr>
          <w:lang w:val="en-GB"/>
        </w:rPr>
        <w:t xml:space="preserv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pPr>
      <w:r>
        <w:rPr>
          <w:color w:val="C9211E"/>
        </w:rPr>
        <w:t xml:space="preserve">Despite achieving reasonable predictive performance, all evaluated models exhibited systematic bias in the magnitude of predicted discharge values, particularly in the form of consistent overestimation or underestimation. This behavior is commonly observed in data-driven hydrological models, which may capture temporal variability well but fail to reproduce absolute magnitudes accurately. </w:t>
      </w:r>
      <w:r>
        <w:rPr/>
        <w:t>To address this issue, a linear scaling bias correction was applied as a post-processing step.</w:t>
      </w:r>
    </w:p>
    <w:p>
      <w:pPr>
        <w:pStyle w:val="MDPI31text"/>
        <w:rPr/>
      </w:pPr>
      <w:r>
        <w:rPr/>
        <w:t>Using the optimized model, one-step-ahead forecasts were generated for the testing period. Systematic bias is reduced by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6"/>
                    <a:stretch>
                      <a:fillRect/>
                    </a:stretch>
                  </pic:blipFill>
                  <pic:spPr bwMode="auto">
                    <a:xfrm>
                      <a:off x="0" y="0"/>
                      <a:ext cx="1304925" cy="209550"/>
                    </a:xfrm>
                    <a:prstGeom prst="rect">
                      <a:avLst/>
                    </a:prstGeom>
                  </pic:spPr>
                </pic:pic>
              </a:graphicData>
            </a:graphic>
          </wp:inline>
        </w:drawing>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7"/>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8"/>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subsequently applied to test-period predictions, preserving temporal dynamics while improving distributional consistency. The complete modelling workflow is presented in Figure 2.</w:t>
      </w:r>
    </w:p>
    <w:p>
      <w:pPr>
        <w:pStyle w:val="MDPI31text"/>
        <w:rPr/>
      </w:pPr>
      <w:r>
        <w:rPr/>
      </w:r>
    </w:p>
    <w:p>
      <w:pPr>
        <w:pStyle w:val="MDPI31text"/>
        <w:ind w:left="0" w:firstLine="425"/>
        <w:rPr/>
      </w:pPr>
      <w:r>
        <w:rPr/>
        <w:drawing>
          <wp:inline distT="0" distB="0" distL="0" distR="0" wp14:anchorId="29A562E0">
            <wp:extent cx="6372225" cy="791845"/>
            <wp:effectExtent l="0" t="38100" r="0" b="3365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pPr>
        <w:pStyle w:val="MDPI31text"/>
        <w:ind w:left="0" w:firstLine="425"/>
        <w:rPr/>
      </w:pPr>
      <w:r>
        <w:rPr>
          <w:b/>
          <w:bCs/>
        </w:rPr>
        <w:t>Figure 2.</w:t>
      </w:r>
      <w:r>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 xml:space="preserve">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w:t>
      </w:r>
    </w:p>
    <w:p>
      <w:pPr>
        <w:pStyle w:val="MDPI31text"/>
        <w:rPr/>
      </w:pPr>
      <w:r>
        <w:rPr/>
        <w:t>LSTM 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r>
        <w:rPr>
          <w:color w:val="C9211E"/>
        </w:rPr>
        <w:t xml:space="preserve"> In particular, its relatively limited performance could be attributed to the chosen input representation, where temporal dependencies are captured through lagged features rather than sequential input windows. As a result, the model does not fully exploit the temporal memory capabilities typically associated with recurrent neural networks. Future work will investigate multi-timestep input sequences to better capture temporal dependencies and fully leverage the capabilities of recurrent neural networks.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6"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60"/>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60"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60"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60"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60"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60"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60"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60"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t xml:space="preserve">a)   </w:t>
      </w:r>
      <w:r>
        <w:rPr/>
        <w:drawing>
          <wp:inline distT="0" distB="0" distL="0" distR="0">
            <wp:extent cx="2898775" cy="162560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4"/>
                    <a:stretch>
                      <a:fillRect/>
                    </a:stretch>
                  </pic:blipFill>
                  <pic:spPr bwMode="auto">
                    <a:xfrm>
                      <a:off x="0" y="0"/>
                      <a:ext cx="2898775" cy="1625600"/>
                    </a:xfrm>
                    <a:prstGeom prst="rect">
                      <a:avLst/>
                    </a:prstGeom>
                  </pic:spPr>
                </pic:pic>
              </a:graphicData>
            </a:graphic>
          </wp:inline>
        </w:drawing>
      </w:r>
      <w:r>
        <w:rPr/>
        <w:t xml:space="preserve">  </w:t>
      </w:r>
      <w:r>
        <w:rPr/>
        <w:t xml:space="preserve">b)   </w:t>
      </w:r>
      <w:r>
        <w:rPr/>
        <w:drawing>
          <wp:inline distT="0" distB="0" distL="0" distR="0">
            <wp:extent cx="2932430" cy="167386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5"/>
                    <a:stretch>
                      <a:fillRect/>
                    </a:stretch>
                  </pic:blipFill>
                  <pic:spPr bwMode="auto">
                    <a:xfrm>
                      <a:off x="0" y="0"/>
                      <a:ext cx="2932430" cy="1673860"/>
                    </a:xfrm>
                    <a:prstGeom prst="rect">
                      <a:avLst/>
                    </a:prstGeom>
                  </pic:spPr>
                </pic:pic>
              </a:graphicData>
            </a:graphic>
          </wp:inline>
        </w:drawing>
      </w:r>
    </w:p>
    <w:p>
      <w:pPr>
        <w:pStyle w:val="MDPI31text"/>
        <w:ind w:left="0" w:hanging="0"/>
        <w:jc w:val="center"/>
        <w:rPr/>
      </w:pPr>
      <w:r>
        <w:rPr/>
        <w:t xml:space="preserve">c)  </w:t>
      </w:r>
      <w:r>
        <w:rPr/>
        <w:drawing>
          <wp:inline distT="0" distB="0" distL="0" distR="0">
            <wp:extent cx="3176905" cy="1708150"/>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6"/>
                    <a:stretch>
                      <a:fillRect/>
                    </a:stretch>
                  </pic:blipFill>
                  <pic:spPr bwMode="auto">
                    <a:xfrm>
                      <a:off x="0" y="0"/>
                      <a:ext cx="3176905" cy="1708150"/>
                    </a:xfrm>
                    <a:prstGeom prst="rect">
                      <a:avLst/>
                    </a:prstGeom>
                  </pic:spPr>
                </pic:pic>
              </a:graphicData>
            </a:graphic>
          </wp:inline>
        </w:drawing>
      </w:r>
    </w:p>
    <w:p>
      <w:pPr>
        <w:pStyle w:val="MDPI31text"/>
        <w:ind w:left="2608" w:hanging="0"/>
        <w:rPr>
          <w:iCs/>
        </w:rPr>
      </w:pPr>
      <w:r>
        <w:rPr>
          <w:b/>
          <w:bCs/>
          <w:iCs/>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31text"/>
        <w:ind w:left="2608" w:hanging="0"/>
        <w:rPr>
          <w:iCs/>
        </w:rPr>
      </w:pPr>
      <w:r>
        <w:rPr/>
      </w:r>
    </w:p>
    <w:p>
      <w:pPr>
        <w:pStyle w:val="MDPI31text"/>
        <w:ind w:hanging="0"/>
        <w:rPr>
          <w:color w:val="C9211E"/>
        </w:rPr>
      </w:pPr>
      <w:r>
        <w:rPr>
          <w:color w:val="C9211E"/>
        </w:rPr>
        <w:t>3.1 Comparison to a rainfall--runoff model</w:t>
      </w:r>
    </w:p>
    <w:p>
      <w:pPr>
        <w:pStyle w:val="MDPI31text"/>
        <w:ind w:hanging="0"/>
        <w:rPr>
          <w:color w:val="C9211E"/>
        </w:rPr>
      </w:pPr>
      <w:r>
        <w:rPr>
          <w:color w:val="C9211E"/>
        </w:rPr>
      </w:r>
    </w:p>
    <w:p>
      <w:pPr>
        <w:pStyle w:val="MDPI31text"/>
        <w:ind w:hanging="0"/>
        <w:jc w:val="both"/>
        <w:rPr>
          <w:color w:val="FF0000"/>
        </w:rPr>
      </w:pPr>
      <w:r>
        <w:rPr>
          <w:color w:val="FF0000"/>
        </w:rPr>
        <w:t xml:space="preserve">The simplified conceptual rainfall--runoff model (HBV-lite) was </w:t>
      </w:r>
      <w:r>
        <w:rPr>
          <w:color w:val="FF0000"/>
        </w:rPr>
        <w:t>implemented</w:t>
      </w:r>
      <w:r>
        <w:rPr>
          <w:color w:val="FF0000"/>
        </w:rPr>
        <w:t xml:space="preserve"> as a </w:t>
      </w:r>
      <w:r>
        <w:rPr>
          <w:color w:val="FF0000"/>
        </w:rPr>
        <w:t xml:space="preserve">baseline </w:t>
      </w:r>
      <w:r>
        <w:rPr>
          <w:color w:val="FF0000"/>
        </w:rPr>
        <w:t xml:space="preserve">physically interpretable benchmark against the machine learning approaches  (Random Forest, XGBoost, and LSTM). The HBV-lite model </w:t>
      </w:r>
      <w:r>
        <w:rPr>
          <w:color w:val="FF0000"/>
        </w:rPr>
        <w:t>is</w:t>
      </w:r>
      <w:r>
        <w:rPr>
          <w:color w:val="FF0000"/>
        </w:rPr>
        <w:t xml:space="preserve"> a simplified conceptual rainfall--runoff representation inspired by the HBV framework. </w:t>
      </w:r>
    </w:p>
    <w:p>
      <w:pPr>
        <w:pStyle w:val="MDPI31text"/>
        <w:ind w:hanging="0"/>
        <w:jc w:val="both"/>
        <w:rPr>
          <w:color w:val="FF0000"/>
        </w:rPr>
      </w:pPr>
      <w:r>
        <w:rPr>
          <w:color w:val="FF0000"/>
        </w:rPr>
        <w:t xml:space="preserve">Unlike fully distributed hydrological models, the proposed version uses only precipitation and temperature as driving variables, aggregated from multiple stations into basin-average time series.  The model consists of a single soil moisture storage reservoir, where incoming precipitation increases soil water content while temperature-based evapotranspiration reduces it. A nonlinear transformation is then applied to represent runoff generation as a function of relative soil moisture, controlled by a small set of interpretable parameters governing storage capacity, </w:t>
      </w:r>
    </w:p>
    <w:p>
      <w:pPr>
        <w:pStyle w:val="MDPI31text"/>
        <w:ind w:hanging="0"/>
        <w:jc w:val="both"/>
        <w:rPr>
          <w:color w:val="FF0000"/>
        </w:rPr>
      </w:pPr>
      <w:r>
        <w:rPr>
          <w:color w:val="FF0000"/>
        </w:rPr>
        <w:t>nonlinearity, and runoff responsiveness. The resulting runoff is taken as the simulated discharg</w:t>
      </w:r>
      <w:r>
        <w:rPr>
          <w:color w:val="FF0000"/>
        </w:rPr>
        <w:t xml:space="preserve">e. </w:t>
      </w:r>
      <w:r>
        <w:rPr>
          <w:color w:val="FF0000"/>
        </w:rPr>
        <w:t>This simplified structure retains the core hydrological concept of storage–release dynamics while avoiding the need for detailed spatial information such as soil type, land use, or topography.</w:t>
      </w:r>
    </w:p>
    <w:p>
      <w:pPr>
        <w:pStyle w:val="MDPI31text"/>
        <w:ind w:hanging="0"/>
        <w:jc w:val="both"/>
        <w:rPr>
          <w:color w:val="FF0000"/>
        </w:rPr>
      </w:pPr>
      <w:r>
        <w:rPr>
          <w:color w:val="FF0000"/>
        </w:rPr>
        <w:t xml:space="preserve">  </w:t>
      </w:r>
      <w:r>
        <w:rPr>
          <w:color w:val="FF0000"/>
        </w:rPr>
        <w:t xml:space="preserve">The obtained results indicate a significantly lower predictive performance of the HBV-lite model compared </w:t>
      </w:r>
    </w:p>
    <w:p>
      <w:pPr>
        <w:pStyle w:val="MDPI31text"/>
        <w:ind w:hanging="0"/>
        <w:jc w:val="both"/>
        <w:rPr>
          <w:color w:val="FF0000"/>
        </w:rPr>
      </w:pPr>
      <w:r>
        <w:rPr>
          <w:color w:val="FF0000"/>
        </w:rPr>
        <w:t xml:space="preserve">  </w:t>
      </w:r>
      <w:r>
        <w:rPr>
          <w:color w:val="FF0000"/>
        </w:rPr>
        <w:t xml:space="preserve">to the data-driven approaches, with a training NSE of -0.539 and a testing NSE of 0.154. </w:t>
      </w:r>
    </w:p>
    <w:p>
      <w:pPr>
        <w:pStyle w:val="MDPI31text"/>
        <w:ind w:hanging="0"/>
        <w:jc w:val="both"/>
        <w:rPr>
          <w:color w:val="FF0000"/>
        </w:rPr>
      </w:pPr>
      <w:r>
        <w:rPr>
          <w:color w:val="FF0000"/>
        </w:rPr>
        <w:t xml:space="preserve">  </w:t>
      </w:r>
      <w:r>
        <w:rPr>
          <w:color w:val="FF0000"/>
        </w:rPr>
        <w:t xml:space="preserve">These negative train NSE value suggest that the model performs worse than a simple mean-flow predictor, indicating that the simplified conceptual </w:t>
      </w:r>
      <w:r>
        <w:rPr>
          <w:color w:val="FF0000"/>
        </w:rPr>
        <w:t xml:space="preserve">structure is insufficient to capture the complexity of the rainfall--runoff relationship in the Bosna River basin using the available input data. </w:t>
      </w:r>
    </w:p>
    <w:p>
      <w:pPr>
        <w:pStyle w:val="MDPI31text"/>
        <w:ind w:hanging="0"/>
        <w:rPr/>
      </w:pPr>
      <w:r>
        <w:rPr/>
      </w:r>
    </w:p>
    <w:p>
      <w:pPr>
        <w:pStyle w:val="MDPI22heading2"/>
        <w:spacing w:before="240" w:after="60"/>
        <w:rPr/>
      </w:pPr>
      <w:r>
        <w:rPr/>
        <w:t>3.</w:t>
      </w:r>
      <w:r>
        <w:rPr/>
        <w:t>2</w:t>
      </w:r>
      <w:r>
        <w:rPr/>
        <w:t xml:space="preserve">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w:t>
      </w:r>
      <w:r>
        <w:rPr/>
        <w:t xml:space="preserve">3 </w:t>
      </w:r>
      <w:r>
        <w:rPr/>
        <w:t>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17"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
                    <pic:cNvPicPr>
                      <a:picLocks noChangeAspect="1" noChangeArrowheads="1"/>
                    </pic:cNvPicPr>
                  </pic:nvPicPr>
                  <pic:blipFill>
                    <a:blip r:embed="rId27"/>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1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
                    <pic:cNvPicPr>
                      <a:picLocks noChangeAspect="1" noChangeArrowheads="1"/>
                    </pic:cNvPicPr>
                  </pic:nvPicPr>
                  <pic:blipFill>
                    <a:blip r:embed="rId28"/>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NS</w:t>
      </w:r>
      <w:r>
        <w:rPr>
          <w:i w:val="false"/>
          <w:iCs/>
        </w:rPr>
        <w:t>E</w:t>
      </w:r>
      <w:r>
        <w:rPr>
          <w:i w:val="false"/>
          <w:iCs/>
        </w:rPr>
        <w:t xml:space="preserve">. The importance of feature </w:t>
      </w:r>
      <w:r>
        <w:rPr/>
        <w:drawing>
          <wp:inline distT="0" distB="0" distL="0" distR="0">
            <wp:extent cx="133350" cy="209550"/>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9"/>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30"/>
                    <a:stretch>
                      <a:fillRect/>
                    </a:stretch>
                  </pic:blipFill>
                  <pic:spPr bwMode="auto">
                    <a:xfrm>
                      <a:off x="0" y="0"/>
                      <a:ext cx="1857375" cy="209550"/>
                    </a:xfrm>
                    <a:prstGeom prst="rect">
                      <a:avLst/>
                    </a:prstGeom>
                  </pic:spPr>
                </pic:pic>
              </a:graphicData>
            </a:graphic>
          </wp:inline>
        </w:drawing>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31"/>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2"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
                    <pic:cNvPicPr>
                      <a:picLocks noChangeAspect="1" noChangeArrowheads="1"/>
                    </pic:cNvPicPr>
                  </pic:nvPicPr>
                  <pic:blipFill>
                    <a:blip r:embed="rId32"/>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r>
        <w:rPr>
          <w:i w:val="false"/>
          <w:iCs/>
          <w:color w:val="C9211E"/>
        </w:rPr>
        <w:t xml:space="preserve"> </w:t>
      </w:r>
      <w:r>
        <w:rPr>
          <w:i w:val="false"/>
          <w:iCs/>
          <w:color w:val="C9211E"/>
        </w:rPr>
        <w:t xml:space="preserve">More about the explainable AI and its application see [61]. </w:t>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t>3.</w:t>
      </w:r>
      <w:r>
        <w:rPr>
          <w:i w:val="false"/>
          <w:iCs/>
        </w:rPr>
        <w:t>4</w:t>
      </w:r>
      <w:r>
        <w:rPr>
          <w:i w:val="false"/>
          <w:iCs/>
        </w:rPr>
        <w:t xml:space="preserve">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0" w:hanging="0"/>
        <w:jc w:val="center"/>
        <w:rPr>
          <w:i w:val="false"/>
          <w:i w:val="false"/>
          <w:iCs/>
        </w:rPr>
      </w:pPr>
      <w:r>
        <w:rPr/>
        <w:t>a</w:t>
      </w:r>
      <w:r>
        <w:rPr/>
        <w:drawing>
          <wp:inline distT="0" distB="0" distL="0" distR="0">
            <wp:extent cx="2722880" cy="1885950"/>
            <wp:effectExtent l="0" t="0" r="0" b="0"/>
            <wp:docPr id="23" name="Image5"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A graph with red and green squares&#10;&#10;AI-generated content may be incorrect."/>
                    <pic:cNvPicPr>
                      <a:picLocks noChangeAspect="1" noChangeArrowheads="1"/>
                    </pic:cNvPicPr>
                  </pic:nvPicPr>
                  <pic:blipFill>
                    <a:blip r:embed="rId33"/>
                    <a:stretch>
                      <a:fillRect/>
                    </a:stretch>
                  </pic:blipFill>
                  <pic:spPr bwMode="auto">
                    <a:xfrm>
                      <a:off x="0" y="0"/>
                      <a:ext cx="2722880" cy="1885950"/>
                    </a:xfrm>
                    <a:prstGeom prst="rect">
                      <a:avLst/>
                    </a:prstGeom>
                  </pic:spPr>
                </pic:pic>
              </a:graphicData>
            </a:graphic>
          </wp:inline>
        </w:drawing>
      </w:r>
      <w:r>
        <w:rPr/>
        <w:t xml:space="preserve">b) </w:t>
      </w:r>
      <w:r>
        <w:rPr/>
        <w:drawing>
          <wp:inline distT="0" distB="0" distL="0" distR="0">
            <wp:extent cx="2766060" cy="1882140"/>
            <wp:effectExtent l="0" t="0" r="0" b="0"/>
            <wp:docPr id="24" name="Picture 35" descr="A green and red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descr="A green and red bar graph&#10;&#10;AI-generated content may be incorrect."/>
                    <pic:cNvPicPr>
                      <a:picLocks noChangeAspect="1" noChangeArrowheads="1"/>
                    </pic:cNvPicPr>
                  </pic:nvPicPr>
                  <pic:blipFill>
                    <a:blip r:embed="rId34"/>
                    <a:stretch>
                      <a:fillRect/>
                    </a:stretch>
                  </pic:blipFill>
                  <pic:spPr bwMode="auto">
                    <a:xfrm>
                      <a:off x="0" y="0"/>
                      <a:ext cx="2766060" cy="1882140"/>
                    </a:xfrm>
                    <a:prstGeom prst="rect">
                      <a:avLst/>
                    </a:prstGeom>
                  </pic:spPr>
                </pic:pic>
              </a:graphicData>
            </a:graphic>
          </wp:inline>
        </w:drawing>
      </w:r>
    </w:p>
    <w:p>
      <w:pPr>
        <w:pStyle w:val="MDPI22heading2"/>
        <w:spacing w:before="240" w:after="60"/>
        <w:ind w:left="0" w:hanging="0"/>
        <w:jc w:val="center"/>
        <w:rPr>
          <w:i w:val="false"/>
          <w:i w:val="false"/>
          <w:iCs/>
        </w:rPr>
      </w:pPr>
      <w:r>
        <w:rPr/>
        <w:t xml:space="preserve">c) </w:t>
      </w:r>
      <w:r>
        <w:rPr/>
        <w:drawing>
          <wp:inline distT="0" distB="0" distL="0" distR="0">
            <wp:extent cx="3371215" cy="1975485"/>
            <wp:effectExtent l="0" t="0" r="0" b="0"/>
            <wp:docPr id="25" name="Picture 36"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descr="A green bar graph with white text&#10;&#10;AI-generated content may be incorrect."/>
                    <pic:cNvPicPr>
                      <a:picLocks noChangeAspect="1" noChangeArrowheads="1"/>
                    </pic:cNvPicPr>
                  </pic:nvPicPr>
                  <pic:blipFill>
                    <a:blip r:embed="rId35"/>
                    <a:stretch>
                      <a:fillRect/>
                    </a:stretch>
                  </pic:blipFill>
                  <pic:spPr bwMode="auto">
                    <a:xfrm>
                      <a:off x="0" y="0"/>
                      <a:ext cx="3371215" cy="1975485"/>
                    </a:xfrm>
                    <a:prstGeom prst="rect">
                      <a:avLst/>
                    </a:prstGeom>
                  </pic:spPr>
                </pic:pic>
              </a:graphicData>
            </a:graphic>
          </wp:inline>
        </w:drawing>
      </w:r>
    </w:p>
    <w:p>
      <w:pPr>
        <w:pStyle w:val="Normal"/>
        <w:spacing w:lineRule="auto" w:line="240"/>
        <w:rPr>
          <w:iCs/>
        </w:rPr>
      </w:pPr>
      <w:r>
        <w:rPr>
          <w:b/>
          <w:bCs/>
          <w:iCs/>
        </w:rPr>
        <w:t>Figure 4.</w:t>
      </w:r>
      <w:r>
        <w:rPr>
          <w:iCs/>
        </w:rPr>
        <w:t xml:space="preserve"> Direction and magnitude of the five most influential features identified through explainable artificial intelligence analysis: (a) XGBoost, (b) Random Forest, and (c) LSTM. Bars indicate the decrease in </w:t>
      </w:r>
      <w:r>
        <w:rPr>
          <w:iCs/>
        </w:rPr>
        <w:t>NSE</w:t>
      </w:r>
      <w:r>
        <w:rPr>
          <w:iCs/>
        </w:rPr>
        <w:t xml:space="preserve"> after feature permutation, while color denotes the direction of influence (positive (green) or negative (red) contribution to predicted streamflows).</w:t>
      </w:r>
    </w:p>
    <w:p>
      <w:pPr>
        <w:pStyle w:val="Normal"/>
        <w:spacing w:lineRule="auto" w:line="240"/>
        <w:rPr>
          <w:iCs/>
        </w:rPr>
      </w:pPr>
      <w:r>
        <w:rPr>
          <w:iCs/>
        </w:rPr>
      </w:r>
    </w:p>
    <w:p>
      <w:pPr>
        <w:pStyle w:val="MDPI21heading1"/>
        <w:rPr/>
      </w:pPr>
      <w:r>
        <w:rPr/>
        <w:t>4. Discussion</w:t>
      </w:r>
    </w:p>
    <w:p>
      <w:pPr>
        <w:pStyle w:val="MDPI31text"/>
        <w:rPr>
          <w:lang w:val="en-GB"/>
        </w:rPr>
      </w:pPr>
      <w:r>
        <w:rPr>
          <w:lang w:val="en-GB"/>
        </w:rPr>
        <w:t xml:space="preserve">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w:t>
      </w:r>
      <w:r>
        <w:rPr/>
        <w:t>[46,47].</w:t>
      </w:r>
      <w:r>
        <w:rPr>
          <w:lang w:val="en-GB"/>
        </w:rPr>
        <w:t xml:space="preserve">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lang w:val="en-GB"/>
        </w:rPr>
      </w:pPr>
      <w:r>
        <w:rPr>
          <w:lang w:val="en-GB"/>
        </w:rPr>
        <w:t xml:space="preserve">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w:t>
      </w:r>
      <w:r>
        <w:rPr/>
        <w:t>[7,46,48,49]</w:t>
      </w:r>
      <w:r>
        <w:rPr>
          <w:lang w:val="en-GB"/>
        </w:rPr>
        <w:t xml:space="preserve">. The long modelling horizon increases the likelihood that climatic and anthropogenic changes have altered runoff generation processes, thereby limiting the transferability of complex models tuned on earlier decades to more recent conditions </w:t>
      </w:r>
      <w:r>
        <w:rPr/>
        <w:t xml:space="preserve">[50]. </w:t>
      </w:r>
      <w:r>
        <w:rPr>
          <w:lang w:val="en-GB"/>
        </w:rPr>
        <w:t>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lang w:val="en-GB"/>
        </w:rPr>
      </w:pPr>
      <w:r>
        <w:rPr>
          <w:lang w:val="en-GB"/>
        </w:rPr>
        <w:t xml:space="preserve">In contrast, the LSTM model struggles to learn streamflow dynamics effectively (training NSE = 0.443; testing NSE = 0.445), and its predictions show greater dispersion   and weaker reproduction of peaks and troughs in Figure 3c. This appears to contradict recent studies in which LSTM networks substantially outperform traditional models in daily rainfall–runoff and streamflow forecasting when large, information-rich datasets are available </w:t>
      </w:r>
      <w:r>
        <w:rPr/>
        <w:t>[10,45,51].</w:t>
      </w:r>
      <w:r>
        <w:rPr>
          <w:lang w:val="en-GB"/>
        </w:rPr>
        <w:t xml:space="preserve"> Several factors likely contribute to this discrepancy. First, using monthly aggregated data strongly smooths short-term dynamics and reduces the need to model long-range temporal dependencies, which are the main strength of recurrent architectures </w:t>
      </w:r>
      <w:r>
        <w:rPr/>
        <w:t>[52]</w:t>
      </w:r>
      <w:r>
        <w:rPr>
          <w:lang w:val="en-GB"/>
        </w:rPr>
        <w:t xml:space="preserve">. Second, the number of effective training samples (~600 months) is small relative to the parameterisation of even a moderately sized LSTM, increasing the risk of under-training or convergence to sub-optimal solutions </w:t>
      </w:r>
      <w:r>
        <w:rPr/>
        <w:t>[46]</w:t>
      </w:r>
      <w:r>
        <w:rPr>
          <w:lang w:val="en-GB"/>
        </w:rPr>
        <w:t xml:space="preserve">.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w:t>
      </w:r>
      <w:r>
        <w:rPr/>
        <w:t>[47,48,53].</w:t>
      </w:r>
    </w:p>
    <w:p>
      <w:pPr>
        <w:pStyle w:val="MDPI31text"/>
        <w:rPr>
          <w:lang w:val="en-GB"/>
        </w:rPr>
      </w:pPr>
      <w:r>
        <w:rPr>
          <w:lang w:val="en-GB"/>
        </w:rPr>
        <w:t xml:space="preserve">The explainable AI analysis provides an important consistency check between data-driven learning and hydrological process understanding. Permutation-based feature importance (Figure 4) shows that lagged precipitation is the dominant predictor class across the better-performing models, particularly rainfall in the preceding one to three months </w:t>
      </w:r>
      <w:r>
        <w:rPr/>
        <w:t>[54,55].</w:t>
      </w:r>
      <w:r>
        <w:rPr>
          <w:lang w:val="en-GB"/>
        </w:rPr>
        <w:t xml:space="preserve"> This is hydrologically plausible for a medium-sized basin with significant storage in soils, shallow groundwater, and the river network, where monthly flows reflect the integration of recent precipitation rather than only contemporaneous inputs </w:t>
      </w:r>
      <w:r>
        <w:rPr/>
        <w:t>[10,52].</w:t>
      </w:r>
      <w:r>
        <w:rPr>
          <w:lang w:val="en-GB"/>
        </w:rPr>
        <w:t xml:space="preserve"> The strong role of the autoregressive streamflow term (Qlag1) corroborates the pronounced persistence of monthly discharge, representing baseflow and slow-release components of catchment storage. The secondary but non-negligible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w:t>
      </w:r>
      <w:r>
        <w:rPr/>
        <w:t>[10,45]</w:t>
      </w:r>
      <w:r>
        <w:rPr>
          <w:lang w:val="en-GB"/>
        </w:rPr>
        <w:t>. The similarity in feature rankings between XGBoost and Random Forest suggests that the inferred hydro-climatic controls are robust across ensemble algorithms.</w:t>
      </w:r>
    </w:p>
    <w:p>
      <w:pPr>
        <w:pStyle w:val="MDPI31text"/>
        <w:rPr>
          <w:lang w:val="en-GB"/>
        </w:rPr>
      </w:pPr>
      <w:r>
        <w:rPr>
          <w:lang w:val="en-GB"/>
        </w:rPr>
        <w:t xml:space="preserve">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w:t>
      </w:r>
      <w:r>
        <w:rPr/>
        <w:t>[48]</w:t>
      </w:r>
      <w:r>
        <w:rPr>
          <w:lang w:val="en-GB"/>
        </w:rPr>
        <w:t>. In this study, the alignment between hydrological expectations and XAI-based rankings for the ensemble models supports their use as transparent decision-support tools.</w:t>
      </w:r>
    </w:p>
    <w:p>
      <w:pPr>
        <w:pStyle w:val="MDPI31text"/>
        <w:rPr>
          <w:lang w:val="en-GB"/>
        </w:rPr>
      </w:pPr>
      <w:r>
        <w:rPr>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 xml:space="preserve">scale models, monthly streamflow performance is often judged satisfactory when NSE ≥ 0.50 </w:t>
      </w:r>
      <w:r>
        <w:rPr/>
        <w:t>[</w:t>
      </w:r>
      <w:r>
        <w:rPr>
          <w:lang w:val="en-GB"/>
        </w:rPr>
        <w:t>49,56</w:t>
      </w:r>
      <w:r>
        <w:rPr/>
        <w:t>]</w:t>
      </w:r>
      <w:r>
        <w:rPr>
          <w:lang w:val="en-GB"/>
        </w:rPr>
        <w:t xml:space="preserve">. 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w:t>
      </w:r>
      <w:r>
        <w:rPr/>
        <w:t>[47]</w:t>
      </w:r>
      <w:r>
        <w:rPr>
          <w:lang w:val="en-GB"/>
        </w:rPr>
        <w:t xml:space="preserve">.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w:t>
      </w:r>
      <w:r>
        <w:rPr/>
        <w:t>[46,48]</w:t>
      </w:r>
      <w:r>
        <w:rPr>
          <w:lang w:val="en-GB"/>
        </w:rPr>
        <w:t>.</w:t>
      </w:r>
    </w:p>
    <w:p>
      <w:pPr>
        <w:pStyle w:val="MDPI31text"/>
        <w:rPr>
          <w:lang w:val="en-GB"/>
        </w:rPr>
      </w:pPr>
      <w:r>
        <w:rPr>
          <w:lang w:val="en-GB"/>
        </w:rPr>
        <w:t xml:space="preserve">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flood processes and may limit applicability to short-lead flood forecasting. </w:t>
      </w:r>
      <w:r>
        <w:rPr>
          <w:color w:val="C9211E"/>
          <w:lang w:val="en-GB"/>
        </w:rPr>
        <w:t>Additionally, the results indicate that the models are primarily suited for capturing general discharge dynamics and seasonal variability, rather than precise prediction of extreme events.</w:t>
      </w:r>
    </w:p>
    <w:p>
      <w:pPr>
        <w:pStyle w:val="MDPI31text"/>
        <w:rPr>
          <w:lang w:val="en-GB"/>
        </w:rPr>
      </w:pPr>
      <w:bookmarkStart w:id="1" w:name="_Hlk221537547"/>
      <w:r>
        <w:rPr>
          <w:lang w:val="en-GB"/>
        </w:rPr>
        <w:t>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BRB and similar regions.</w:t>
      </w:r>
      <w:bookmarkEnd w:id="1"/>
      <w:r>
        <w:rPr>
          <w:color w:val="FF0000"/>
          <w:lang w:val="en-GB"/>
        </w:rPr>
        <w:t xml:space="preserve"> This includes</w:t>
      </w:r>
      <w:r>
        <w:rPr>
          <w:color w:val="FF0000"/>
        </w:rPr>
        <w:t xml:space="preserve"> direct comparisons with </w:t>
      </w:r>
      <w:r>
        <w:rPr>
          <w:color w:val="FF0000"/>
        </w:rPr>
        <w:t xml:space="preserve">more powerful </w:t>
      </w:r>
      <w:r>
        <w:rPr>
          <w:color w:val="FF0000"/>
        </w:rPr>
        <w:t>conceptual rainfall--runoff models to further assess the strengths and limitations of data-driven methods.</w:t>
      </w:r>
    </w:p>
    <w:p>
      <w:pPr>
        <w:pStyle w:val="MDPI21heading1"/>
        <w:rPr/>
      </w:pPr>
      <w:r>
        <w:rPr/>
        <w:t>5. Conclusions</w:t>
      </w:r>
    </w:p>
    <w:p>
      <w:pPr>
        <w:pStyle w:val="MDPI31text"/>
        <w:rPr>
          <w:lang w:val="en-GB"/>
        </w:rPr>
      </w:pPr>
      <w:r>
        <w:rPr>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(Figure 4)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lang w:val="en-GB"/>
        </w:rPr>
        <w:t xml:space="preserve">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 </w:t>
      </w:r>
      <w:r>
        <w:rPr>
          <w:color w:val="C9211E"/>
          <w:lang w:val="en-GB"/>
        </w:rPr>
        <w:t>Concerning potential drawbacks of the approach</w:t>
      </w:r>
      <w:r>
        <w:rPr>
          <w:color w:val="C9211E"/>
        </w:rPr>
        <w:t>, the absence of explicit seasonality indicators (e.g., month-of-year encoding) and snow-related variables may limit the ability of the models to accurately reproduce extreme events and regime transitions. Future work will focus on extending the feature space to include such hydrologically meaningful predictors and assessing their impact on predictive performance.</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This publication is co-funded by the European Union’s Horizon Europe research and innovation progr</w:t>
      </w:r>
      <w:r>
        <w:rPr/>
        <w:t xml:space="preserve">am </w:t>
      </w:r>
      <w:r>
        <w:rPr/>
        <w:t>under the MSCA COFUND Postdoctoral Programme (grant agre</w:t>
      </w:r>
      <w:r>
        <w:rPr/>
        <w:t>e</w:t>
      </w:r>
      <w:r>
        <w:rPr/>
        <w:t>ment No. 101081355 – SMASH), and by the Republic of Slove</w:t>
      </w:r>
      <w:r>
        <w:rPr/>
        <w:t xml:space="preserve">nia </w:t>
      </w:r>
      <w:r>
        <w:rPr/>
        <w:t>and the European Union through the European Regional Develo</w:t>
      </w:r>
      <w:r>
        <w:rPr/>
        <w:t>p</w:t>
      </w:r>
      <w:r>
        <w:rPr/>
        <w:t>ment Fund. Views and opinions expressed are those of the authors</w:t>
      </w:r>
    </w:p>
    <w:p>
      <w:pPr>
        <w:pStyle w:val="MDPI62backmatter"/>
        <w:rPr/>
      </w:pPr>
      <w:r>
        <w:rPr/>
        <w:t xml:space="preserve">only and do not necessarily reflect those of the European Unionor the European Research Executive Agency (REA). Neither </w:t>
      </w:r>
      <w:r>
        <w:rPr/>
        <w:t xml:space="preserve">the </w:t>
      </w:r>
      <w:r>
        <w:rPr/>
        <w:t>European Union nor the REA can be held responsible for them.</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bookmarkEnd w:id="2"/>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4"/>
        <w:gridCol w:w="6922"/>
      </w:tblGrid>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BH</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Bosnia and Herzegovina</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BRB</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Bosna River Basin</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ML</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Machine Learning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XGBoost</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eXtreme Gradient Boosting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RF</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LSTM</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Long Short-Term Memory</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XAI</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bookmarkStart w:id="3" w:name="_Hlk1810046461"/>
      <w:bookmarkStart w:id="4" w:name="_Hlk1810046461"/>
      <w:bookmarkEnd w:id="4"/>
    </w:p>
    <w:p>
      <w:pPr>
        <w:pStyle w:val="MDPI21heading1"/>
        <w:ind w:left="0" w:hanging="0"/>
        <w:rPr/>
      </w:pPr>
      <w:r>
        <w:rPr/>
        <w:t>References</w:t>
      </w:r>
    </w:p>
    <w:p>
      <w:pPr>
        <w:pStyle w:val="MDPI81references"/>
        <w:numPr>
          <w:ilvl w:val="0"/>
          <w:numId w:val="8"/>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7">
        <w:r>
          <w:rPr>
            <w:rStyle w:val="InternetLink"/>
          </w:rPr>
          <w:t>https://doi.org/10.1007/s42452-024-06083-x</w:t>
        </w:r>
      </w:hyperlink>
    </w:p>
    <w:p>
      <w:pPr>
        <w:pStyle w:val="MDPI81references"/>
        <w:numPr>
          <w:ilvl w:val="0"/>
          <w:numId w:val="9"/>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8">
        <w:r>
          <w:rPr>
            <w:rStyle w:val="InternetLink"/>
          </w:rPr>
          <w:t>https://doi.org/10.1016/j.ejrh.2025.102549</w:t>
        </w:r>
      </w:hyperlink>
    </w:p>
    <w:p>
      <w:pPr>
        <w:pStyle w:val="MDPI81references"/>
        <w:numPr>
          <w:ilvl w:val="0"/>
          <w:numId w:val="10"/>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39">
        <w:r>
          <w:rPr>
            <w:rStyle w:val="InternetLink"/>
          </w:rPr>
          <w:t>https://doi.org/10.2166/hydro.2024.061</w:t>
        </w:r>
      </w:hyperlink>
    </w:p>
    <w:p>
      <w:pPr>
        <w:pStyle w:val="MDPI81references"/>
        <w:numPr>
          <w:ilvl w:val="0"/>
          <w:numId w:val="11"/>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40">
        <w:r>
          <w:rPr>
            <w:rStyle w:val="InternetLink"/>
          </w:rPr>
          <w:t>https://doi.org/10.1038/s41598-024-78012-2</w:t>
        </w:r>
      </w:hyperlink>
    </w:p>
    <w:p>
      <w:pPr>
        <w:pStyle w:val="MDPI81references"/>
        <w:numPr>
          <w:ilvl w:val="0"/>
          <w:numId w:val="12"/>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41">
        <w:r>
          <w:rPr>
            <w:rStyle w:val="InternetLink"/>
          </w:rPr>
          <w:t>https://doi.org/10.1007/s13201-025-02632-w</w:t>
        </w:r>
      </w:hyperlink>
    </w:p>
    <w:p>
      <w:pPr>
        <w:pStyle w:val="MDPI81references"/>
        <w:numPr>
          <w:ilvl w:val="0"/>
          <w:numId w:val="13"/>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42">
        <w:r>
          <w:rPr>
            <w:rStyle w:val="InternetLink"/>
          </w:rPr>
          <w:t>https://doi.org/10.2166/wpt.2025.153</w:t>
        </w:r>
      </w:hyperlink>
    </w:p>
    <w:p>
      <w:pPr>
        <w:pStyle w:val="MDPI81references"/>
        <w:numPr>
          <w:ilvl w:val="0"/>
          <w:numId w:val="14"/>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3">
        <w:r>
          <w:rPr>
            <w:rStyle w:val="InternetLink"/>
          </w:rPr>
          <w:t>https://doi.org/10.1016/j.jhydrol.2020.124901</w:t>
        </w:r>
      </w:hyperlink>
    </w:p>
    <w:p>
      <w:pPr>
        <w:pStyle w:val="MDPI81references"/>
        <w:numPr>
          <w:ilvl w:val="0"/>
          <w:numId w:val="15"/>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4">
        <w:r>
          <w:rPr>
            <w:rStyle w:val="InternetLink"/>
          </w:rPr>
          <w:t>https://doi.org/10.1016/j.rineng.2024.102215</w:t>
        </w:r>
      </w:hyperlink>
    </w:p>
    <w:p>
      <w:pPr>
        <w:pStyle w:val="MDPI81references"/>
        <w:numPr>
          <w:ilvl w:val="0"/>
          <w:numId w:val="16"/>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5">
        <w:r>
          <w:rPr>
            <w:rStyle w:val="InternetLink"/>
          </w:rPr>
          <w:t>https://doi.org/10.3390/earth6030064</w:t>
        </w:r>
      </w:hyperlink>
    </w:p>
    <w:p>
      <w:pPr>
        <w:pStyle w:val="MDPI81references"/>
        <w:numPr>
          <w:ilvl w:val="0"/>
          <w:numId w:val="17"/>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6">
        <w:r>
          <w:rPr>
            <w:rStyle w:val="InternetLink"/>
          </w:rPr>
          <w:t>https://doi.org/10.1029/2019WR026793</w:t>
        </w:r>
      </w:hyperlink>
    </w:p>
    <w:p>
      <w:pPr>
        <w:pStyle w:val="MDPI81references"/>
        <w:numPr>
          <w:ilvl w:val="0"/>
          <w:numId w:val="18"/>
        </w:numPr>
        <w:ind w:left="425" w:hanging="425"/>
        <w:rPr/>
      </w:pPr>
      <w:r>
        <w:rPr/>
        <w:t xml:space="preserve">Zealand, C.M.; Burn, D.H.; Simonovic, S.P. Short term streamflow forecasting using artificial neural networks. J. Hydrol. 1999, 214, 32–48. </w:t>
      </w:r>
      <w:hyperlink r:id="rId47">
        <w:r>
          <w:rPr>
            <w:rStyle w:val="InternetLink"/>
          </w:rPr>
          <w:t>https://doi.org/10.1016/S0022-1694(98)00242-X</w:t>
        </w:r>
      </w:hyperlink>
    </w:p>
    <w:p>
      <w:pPr>
        <w:pStyle w:val="MDPI81references"/>
        <w:numPr>
          <w:ilvl w:val="0"/>
          <w:numId w:val="19"/>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8">
        <w:r>
          <w:rPr>
            <w:rStyle w:val="InternetLink"/>
          </w:rPr>
          <w:t>https://doi.org/10.3390/w10050628</w:t>
        </w:r>
      </w:hyperlink>
    </w:p>
    <w:p>
      <w:pPr>
        <w:pStyle w:val="MDPI81references"/>
        <w:numPr>
          <w:ilvl w:val="0"/>
          <w:numId w:val="20"/>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49">
        <w:r>
          <w:rPr>
            <w:rStyle w:val="InternetLink"/>
          </w:rPr>
          <w:t>https://doi.org/10.1080/02626667.2015.1055271</w:t>
        </w:r>
      </w:hyperlink>
    </w:p>
    <w:p>
      <w:pPr>
        <w:pStyle w:val="MDPI81references"/>
        <w:numPr>
          <w:ilvl w:val="0"/>
          <w:numId w:val="21"/>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50">
        <w:r>
          <w:rPr>
            <w:rStyle w:val="InternetLink"/>
          </w:rPr>
          <w:t>https://doi.org/10.5194/hess-26-5449-2022</w:t>
        </w:r>
      </w:hyperlink>
      <w:r>
        <w:rPr/>
        <w:t>.</w:t>
      </w:r>
    </w:p>
    <w:p>
      <w:pPr>
        <w:pStyle w:val="MDPI81references"/>
        <w:numPr>
          <w:ilvl w:val="0"/>
          <w:numId w:val="22"/>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51">
        <w:r>
          <w:rPr>
            <w:rStyle w:val="InternetLink"/>
          </w:rPr>
          <w:t>https://doi.org/10.3390/w17060907</w:t>
        </w:r>
      </w:hyperlink>
    </w:p>
    <w:p>
      <w:pPr>
        <w:pStyle w:val="MDPI81references"/>
        <w:numPr>
          <w:ilvl w:val="0"/>
          <w:numId w:val="23"/>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52">
        <w:r>
          <w:rPr>
            <w:rStyle w:val="InternetLink"/>
          </w:rPr>
          <w:t>https://doi.org/10.2166/hydro.2025.276</w:t>
        </w:r>
      </w:hyperlink>
    </w:p>
    <w:p>
      <w:pPr>
        <w:pStyle w:val="MDPI81references"/>
        <w:numPr>
          <w:ilvl w:val="0"/>
          <w:numId w:val="24"/>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3">
        <w:r>
          <w:rPr>
            <w:rStyle w:val="InternetLink"/>
          </w:rPr>
          <w:t>https://doi.org/10.1016/j.jhydrol.2022.127515</w:t>
        </w:r>
      </w:hyperlink>
      <w:r>
        <w:rPr/>
        <w:t xml:space="preserve"> </w:t>
      </w:r>
    </w:p>
    <w:p>
      <w:pPr>
        <w:pStyle w:val="MDPI81references"/>
        <w:numPr>
          <w:ilvl w:val="0"/>
          <w:numId w:val="25"/>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4">
        <w:r>
          <w:rPr>
            <w:rStyle w:val="InternetLink"/>
          </w:rPr>
          <w:t>https://doi.org/10.3390/hydrology12070168</w:t>
        </w:r>
      </w:hyperlink>
    </w:p>
    <w:p>
      <w:pPr>
        <w:pStyle w:val="MDPI81references"/>
        <w:numPr>
          <w:ilvl w:val="0"/>
          <w:numId w:val="26"/>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5">
        <w:r>
          <w:rPr>
            <w:rStyle w:val="InternetLink"/>
          </w:rPr>
          <w:t>https://doi.org/10.3390/w7052494</w:t>
        </w:r>
      </w:hyperlink>
    </w:p>
    <w:p>
      <w:pPr>
        <w:pStyle w:val="MDPI81references"/>
        <w:numPr>
          <w:ilvl w:val="0"/>
          <w:numId w:val="27"/>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6">
        <w:r>
          <w:rPr>
            <w:rStyle w:val="InternetLink"/>
          </w:rPr>
          <w:t>https://doi.org/10.1007/s13201-024-02135-0</w:t>
        </w:r>
      </w:hyperlink>
    </w:p>
    <w:p>
      <w:pPr>
        <w:pStyle w:val="MDPI81references"/>
        <w:numPr>
          <w:ilvl w:val="0"/>
          <w:numId w:val="28"/>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7">
        <w:r>
          <w:rPr>
            <w:rStyle w:val="InternetLink"/>
          </w:rPr>
          <w:t>https://doi.org/10.5194/hess-25-2997-2021</w:t>
        </w:r>
      </w:hyperlink>
      <w:r>
        <w:rPr/>
        <w:t>.</w:t>
      </w:r>
    </w:p>
    <w:p>
      <w:pPr>
        <w:pStyle w:val="MDPI81references"/>
        <w:numPr>
          <w:ilvl w:val="0"/>
          <w:numId w:val="29"/>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8">
        <w:r>
          <w:rPr>
            <w:rStyle w:val="InternetLink"/>
          </w:rPr>
          <w:t>https://doi.org/10.3934/environsci.2024029</w:t>
        </w:r>
      </w:hyperlink>
    </w:p>
    <w:p>
      <w:pPr>
        <w:pStyle w:val="MDPI81references"/>
        <w:numPr>
          <w:ilvl w:val="0"/>
          <w:numId w:val="30"/>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79–97. https://doi.org/10.1007/s13753-023-00465-2</w:t>
      </w:r>
    </w:p>
    <w:p>
      <w:pPr>
        <w:pStyle w:val="MDPI81references"/>
        <w:numPr>
          <w:ilvl w:val="0"/>
          <w:numId w:val="31"/>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59">
        <w:r>
          <w:rPr>
            <w:rStyle w:val="InternetLink"/>
          </w:rPr>
          <w:t>https://doi.org/10.3390/w15142572</w:t>
        </w:r>
      </w:hyperlink>
    </w:p>
    <w:p>
      <w:pPr>
        <w:pStyle w:val="MDPI81references"/>
        <w:numPr>
          <w:ilvl w:val="0"/>
          <w:numId w:val="32"/>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60">
        <w:r>
          <w:rPr>
            <w:rStyle w:val="InternetLink"/>
          </w:rPr>
          <w:t>https://doi.org/10.1080/15715124.2023.2245809</w:t>
        </w:r>
      </w:hyperlink>
    </w:p>
    <w:p>
      <w:pPr>
        <w:pStyle w:val="MDPI81references"/>
        <w:numPr>
          <w:ilvl w:val="0"/>
          <w:numId w:val="33"/>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61">
        <w:r>
          <w:rPr>
            <w:rStyle w:val="InternetLink"/>
          </w:rPr>
          <w:t>https://doi.org/10.1007/s12145-023-01139-9</w:t>
        </w:r>
      </w:hyperlink>
    </w:p>
    <w:p>
      <w:pPr>
        <w:pStyle w:val="MDPI81references"/>
        <w:numPr>
          <w:ilvl w:val="0"/>
          <w:numId w:val="34"/>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62">
        <w:r>
          <w:rPr>
            <w:rStyle w:val="InternetLink"/>
          </w:rPr>
          <w:t>https://doi.org/10.3390/w17162420</w:t>
        </w:r>
      </w:hyperlink>
    </w:p>
    <w:p>
      <w:pPr>
        <w:pStyle w:val="MDPI81references"/>
        <w:numPr>
          <w:ilvl w:val="0"/>
          <w:numId w:val="35"/>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3">
        <w:r>
          <w:rPr>
            <w:rStyle w:val="InternetLink"/>
          </w:rPr>
          <w:t>https://doi.org/10.3390/w11071387</w:t>
        </w:r>
      </w:hyperlink>
    </w:p>
    <w:p>
      <w:pPr>
        <w:pStyle w:val="MDPI81references"/>
        <w:numPr>
          <w:ilvl w:val="0"/>
          <w:numId w:val="36"/>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4">
        <w:r>
          <w:rPr>
            <w:rStyle w:val="InternetLink"/>
          </w:rPr>
          <w:t>https://doi.org/10.3390/ai5040101</w:t>
        </w:r>
      </w:hyperlink>
    </w:p>
    <w:p>
      <w:pPr>
        <w:pStyle w:val="MDPI81references"/>
        <w:numPr>
          <w:ilvl w:val="0"/>
          <w:numId w:val="37"/>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5">
        <w:r>
          <w:rPr>
            <w:rStyle w:val="InternetLink"/>
          </w:rPr>
          <w:t>https://doi.org/10.1016/j.jhydrol.2025.133323</w:t>
        </w:r>
      </w:hyperlink>
    </w:p>
    <w:p>
      <w:pPr>
        <w:pStyle w:val="MDPI81references"/>
        <w:numPr>
          <w:ilvl w:val="0"/>
          <w:numId w:val="38"/>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6">
        <w:r>
          <w:rPr>
            <w:rStyle w:val="InternetLink"/>
            <w:szCs w:val="18"/>
          </w:rPr>
          <w:t>https://doi.org/10.1080/02533839.2021.1933598</w:t>
        </w:r>
      </w:hyperlink>
    </w:p>
    <w:p>
      <w:pPr>
        <w:pStyle w:val="MDPI81references"/>
        <w:numPr>
          <w:ilvl w:val="0"/>
          <w:numId w:val="39"/>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1382. https://doi.org/10.3390/pr11051382), 1382.</w:t>
      </w:r>
    </w:p>
    <w:p>
      <w:pPr>
        <w:pStyle w:val="MDPI81references"/>
        <w:numPr>
          <w:ilvl w:val="0"/>
          <w:numId w:val="40"/>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67">
        <w:r>
          <w:rPr>
            <w:rStyle w:val="InternetLink"/>
          </w:rPr>
          <w:t>https://doi.org/10.1145/3561048</w:t>
        </w:r>
      </w:hyperlink>
    </w:p>
    <w:p>
      <w:pPr>
        <w:pStyle w:val="MDPI81references"/>
        <w:numPr>
          <w:ilvl w:val="0"/>
          <w:numId w:val="41"/>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68">
        <w:r>
          <w:rPr>
            <w:rStyle w:val="InternetLink"/>
          </w:rPr>
          <w:t>https://doi.org/10.5281/zenodo.15501323</w:t>
        </w:r>
      </w:hyperlink>
    </w:p>
    <w:p>
      <w:pPr>
        <w:pStyle w:val="MDPI81references"/>
        <w:numPr>
          <w:ilvl w:val="0"/>
          <w:numId w:val="42"/>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69">
        <w:r>
          <w:rPr>
            <w:rStyle w:val="InternetLink"/>
          </w:rPr>
          <w:t>https://doi.org/10.1007/s12665-023-11040-9</w:t>
        </w:r>
      </w:hyperlink>
    </w:p>
    <w:p>
      <w:pPr>
        <w:pStyle w:val="MDPI81references"/>
        <w:numPr>
          <w:ilvl w:val="0"/>
          <w:numId w:val="43"/>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70">
        <w:r>
          <w:rPr>
            <w:rStyle w:val="InternetLink"/>
          </w:rPr>
          <w:t>https://doi.org/10.28974/idojaras.2021.3.5</w:t>
        </w:r>
      </w:hyperlink>
    </w:p>
    <w:p>
      <w:pPr>
        <w:pStyle w:val="MDPI81references"/>
        <w:numPr>
          <w:ilvl w:val="0"/>
          <w:numId w:val="44"/>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71">
        <w:r>
          <w:rPr>
            <w:rStyle w:val="InternetLink"/>
          </w:rPr>
          <w:t>https://doi.org/10.1023/A:1010933404324</w:t>
        </w:r>
      </w:hyperlink>
      <w:r>
        <w:rPr/>
        <w:t xml:space="preserve"> </w:t>
      </w:r>
    </w:p>
    <w:p>
      <w:pPr>
        <w:pStyle w:val="MDPI81references"/>
        <w:numPr>
          <w:ilvl w:val="0"/>
          <w:numId w:val="45"/>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72">
        <w:r>
          <w:rPr>
            <w:rStyle w:val="InternetLink"/>
          </w:rPr>
          <w:t>https://doi.org/10.3390/w11050910</w:t>
        </w:r>
      </w:hyperlink>
      <w:r>
        <w:rPr/>
        <w:t xml:space="preserve"> </w:t>
      </w:r>
    </w:p>
    <w:p>
      <w:pPr>
        <w:pStyle w:val="MDPI81references"/>
        <w:numPr>
          <w:ilvl w:val="0"/>
          <w:numId w:val="46"/>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3">
        <w:r>
          <w:rPr>
            <w:rStyle w:val="InternetLink"/>
          </w:rPr>
          <w:t>https://doi.org/10.1016/j.jhydrol.2015.10.038</w:t>
        </w:r>
      </w:hyperlink>
    </w:p>
    <w:p>
      <w:pPr>
        <w:pStyle w:val="MDPI81references"/>
        <w:numPr>
          <w:ilvl w:val="0"/>
          <w:numId w:val="47"/>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4">
        <w:r>
          <w:rPr>
            <w:rStyle w:val="InternetLink"/>
          </w:rPr>
          <w:t>https://doi.org/10.1145/2939672.2939785</w:t>
        </w:r>
      </w:hyperlink>
    </w:p>
    <w:p>
      <w:pPr>
        <w:pStyle w:val="MDPI81references"/>
        <w:numPr>
          <w:ilvl w:val="0"/>
          <w:numId w:val="48"/>
        </w:numPr>
        <w:ind w:left="425" w:hanging="425"/>
        <w:rPr/>
      </w:pPr>
      <w:r>
        <w:rPr/>
        <w:t>Leščešen, I.; Pekárová, P.; Miklánek, P.; Bajtek, Z. Streamflow Variability and Predictive Modeling in the Carpathian Basin: Assessing the Performance of Machine Learning Algorithms. In Proceedings of the EGU General Assembly (EGU25-8061), Vienna, Austria, 27 Apr–2 May 2025, EGU25-8061. https://doi.org/10.5194/egusphere-egu25-8061, 2025.</w:t>
      </w:r>
    </w:p>
    <w:p>
      <w:pPr>
        <w:pStyle w:val="MDPI81references"/>
        <w:numPr>
          <w:ilvl w:val="0"/>
          <w:numId w:val="49"/>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1387. https://doi.org/10.3390/w11071387</w:t>
      </w:r>
    </w:p>
    <w:p>
      <w:pPr>
        <w:pStyle w:val="MDPI81references"/>
        <w:numPr>
          <w:ilvl w:val="0"/>
          <w:numId w:val="50"/>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75">
        <w:r>
          <w:rPr>
            <w:rStyle w:val="InternetLink"/>
          </w:rPr>
          <w:t>https://doi.org/10.1016/j.psep.2025.107249</w:t>
        </w:r>
      </w:hyperlink>
    </w:p>
    <w:p>
      <w:pPr>
        <w:pStyle w:val="MDPI81references"/>
        <w:numPr>
          <w:ilvl w:val="0"/>
          <w:numId w:val="51"/>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1735–1780. https://doi.org/10.1162/neco.1997.9.8.1735</w:t>
      </w:r>
    </w:p>
    <w:p>
      <w:pPr>
        <w:pStyle w:val="MDPI81references"/>
        <w:numPr>
          <w:ilvl w:val="0"/>
          <w:numId w:val="52"/>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76">
        <w:r>
          <w:rPr>
            <w:rStyle w:val="InternetLink"/>
          </w:rPr>
          <w:t>https://doi.org/10.5194/hess-22-6005-2018</w:t>
        </w:r>
      </w:hyperlink>
    </w:p>
    <w:p>
      <w:pPr>
        <w:pStyle w:val="MDPI81references"/>
        <w:numPr>
          <w:ilvl w:val="0"/>
          <w:numId w:val="53"/>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77">
        <w:r>
          <w:rPr>
            <w:rStyle w:val="InternetLink"/>
          </w:rPr>
          <w:t>https://doi.org/10.1029/2018WR022643</w:t>
        </w:r>
      </w:hyperlink>
    </w:p>
    <w:p>
      <w:pPr>
        <w:pStyle w:val="MDPI81references"/>
        <w:numPr>
          <w:ilvl w:val="0"/>
          <w:numId w:val="54"/>
        </w:numPr>
        <w:ind w:left="425" w:hanging="425"/>
        <w:rPr/>
      </w:pPr>
      <w:r>
        <w:rPr/>
        <w:t xml:space="preserve">Mosavi, A.; Ozturk, P.; Chau, K.-W. Flood prediction using machine learning models: A systematic review. </w:t>
      </w:r>
      <w:r>
        <w:rPr>
          <w:i/>
          <w:iCs/>
        </w:rPr>
        <w:t>Water</w:t>
      </w:r>
      <w:r>
        <w:rPr/>
        <w:t xml:space="preserve">, </w:t>
      </w:r>
      <w:r>
        <w:rPr>
          <w:b/>
          <w:bCs/>
        </w:rPr>
        <w:t>2018</w:t>
      </w:r>
      <w:r>
        <w:rPr/>
        <w:t xml:space="preserve">, </w:t>
      </w:r>
      <w:r>
        <w:rPr>
          <w:i/>
          <w:iCs/>
        </w:rPr>
        <w:t>10</w:t>
      </w:r>
      <w:r>
        <w:rPr/>
        <w:t xml:space="preserve">, 1536. https://doi.org/10.3390/w10111536 </w:t>
      </w:r>
    </w:p>
    <w:p>
      <w:pPr>
        <w:pStyle w:val="MDPI81references"/>
        <w:numPr>
          <w:ilvl w:val="0"/>
          <w:numId w:val="55"/>
        </w:numPr>
        <w:ind w:left="425" w:hanging="425"/>
        <w:rPr/>
      </w:pPr>
      <w:r>
        <w:rPr/>
        <w:t xml:space="preserve">Nearing, G.S.; Kratzert, F.; Sampson, A.K.; Pelissier, C.S.; Klotz, D.; Frame, J.M.; Prieto, C.; Gupta, H.V. What role does hydrological science play in the age of machine learning? </w:t>
      </w:r>
      <w:r>
        <w:rPr>
          <w:i/>
          <w:iCs/>
        </w:rPr>
        <w:t>Water Resour. Res</w:t>
      </w:r>
      <w:r>
        <w:rPr/>
        <w:t xml:space="preserve">. </w:t>
      </w:r>
      <w:r>
        <w:rPr>
          <w:b/>
          <w:bCs/>
        </w:rPr>
        <w:t>2021</w:t>
      </w:r>
      <w:r>
        <w:rPr/>
        <w:t xml:space="preserve">, </w:t>
      </w:r>
      <w:r>
        <w:rPr>
          <w:i/>
          <w:iCs/>
        </w:rPr>
        <w:t>57</w:t>
      </w:r>
      <w:r>
        <w:rPr/>
        <w:t xml:space="preserve">, e2020WR028091. </w:t>
      </w:r>
      <w:hyperlink r:id="rId78">
        <w:r>
          <w:rPr>
            <w:rStyle w:val="InternetLink"/>
          </w:rPr>
          <w:t>https://doi.org/10.1029/2020WR028091</w:t>
        </w:r>
      </w:hyperlink>
    </w:p>
    <w:p>
      <w:pPr>
        <w:pStyle w:val="MDPI81references"/>
        <w:numPr>
          <w:ilvl w:val="0"/>
          <w:numId w:val="56"/>
        </w:numPr>
        <w:ind w:left="425" w:hanging="425"/>
        <w:rPr/>
      </w:pPr>
      <w:r>
        <w:rPr/>
        <w:t xml:space="preserve">Lin, Y.; Wang, D.; Jiang, T.; Kang, A. Assessing Objective Functions in Streamflow Prediction Model Training Based on the Naïve Method. </w:t>
      </w:r>
      <w:r>
        <w:rPr>
          <w:i/>
          <w:iCs/>
        </w:rPr>
        <w:t>Water</w:t>
      </w:r>
      <w:r>
        <w:rPr/>
        <w:t xml:space="preserve">, </w:t>
      </w:r>
      <w:r>
        <w:rPr>
          <w:b/>
          <w:bCs/>
        </w:rPr>
        <w:t>2024</w:t>
      </w:r>
      <w:r>
        <w:rPr/>
        <w:t xml:space="preserve">, </w:t>
      </w:r>
      <w:r>
        <w:rPr>
          <w:i/>
          <w:iCs/>
        </w:rPr>
        <w:t>16</w:t>
      </w:r>
      <w:r>
        <w:rPr/>
        <w:t xml:space="preserve">, 777. </w:t>
      </w:r>
      <w:hyperlink r:id="rId79">
        <w:r>
          <w:rPr>
            <w:rStyle w:val="InternetLink"/>
          </w:rPr>
          <w:t>https://doi.org/10.3390/w16050777</w:t>
        </w:r>
      </w:hyperlink>
    </w:p>
    <w:p>
      <w:pPr>
        <w:pStyle w:val="MDPI81references"/>
        <w:numPr>
          <w:ilvl w:val="0"/>
          <w:numId w:val="57"/>
        </w:numPr>
        <w:ind w:left="425" w:hanging="425"/>
        <w:rPr/>
      </w:pPr>
      <w:r>
        <w:rPr>
          <w:lang w:val="en-GB"/>
        </w:rPr>
        <w:t xml:space="preserve">Blöschl, G.; Bierkens, M.F.P.; Chambel, A.; Cudennec, C.; Destouni, G.; Fiori, A.; … Zhang, Y. Twenty-three unsolved problems in hydrology (UPH) – a community perspective. </w:t>
      </w:r>
      <w:r>
        <w:rPr>
          <w:i/>
          <w:iCs/>
          <w:lang w:val="en-GB"/>
        </w:rPr>
        <w:t>Hydrol. Sci. J.</w:t>
      </w:r>
      <w:r>
        <w:rPr>
          <w:lang w:val="en-GB"/>
        </w:rPr>
        <w:t xml:space="preserve"> </w:t>
      </w:r>
      <w:r>
        <w:rPr>
          <w:b/>
          <w:bCs/>
          <w:lang w:val="en-GB"/>
        </w:rPr>
        <w:t>2019</w:t>
      </w:r>
      <w:r>
        <w:rPr>
          <w:lang w:val="en-GB"/>
        </w:rPr>
        <w:t xml:space="preserve">, </w:t>
      </w:r>
      <w:r>
        <w:rPr>
          <w:i/>
          <w:iCs/>
          <w:lang w:val="en-GB"/>
        </w:rPr>
        <w:t>64</w:t>
      </w:r>
      <w:r>
        <w:rPr>
          <w:lang w:val="en-GB"/>
        </w:rPr>
        <w:t xml:space="preserve">, 1141–1158. </w:t>
      </w:r>
      <w:hyperlink r:id="rId80">
        <w:r>
          <w:rPr>
            <w:rStyle w:val="InternetLink"/>
            <w:lang w:val="en-GB"/>
          </w:rPr>
          <w:t>https://doi.org/10.1080/02626667.2019.1620507</w:t>
        </w:r>
      </w:hyperlink>
    </w:p>
    <w:p>
      <w:pPr>
        <w:pStyle w:val="MDPI81references"/>
        <w:numPr>
          <w:ilvl w:val="0"/>
          <w:numId w:val="58"/>
        </w:numPr>
        <w:ind w:left="425" w:hanging="425"/>
        <w:rPr/>
      </w:pPr>
      <w:r>
        <w:rPr/>
        <w:t xml:space="preserve">Kumshe, U.M.M.; Abdulhamid, Z.M.; Mala, B.A.; Muazu, T.; Muhammad, A.U.; Sangary, O.; Ba, A.F.; Tijjani, S.; Adam, J.B.; Ali, M.A.H.; Bello, A.U.; Bala, M.M. Improving Short-term Daily Streamflow Forecasting Using an Autoencoder Based CNN-LSTM Model. </w:t>
      </w:r>
      <w:r>
        <w:rPr>
          <w:i/>
          <w:iCs/>
        </w:rPr>
        <w:t>Water Resour. Manage.</w:t>
      </w:r>
      <w:r>
        <w:rPr/>
        <w:t xml:space="preserve"> </w:t>
      </w:r>
      <w:r>
        <w:rPr>
          <w:b/>
          <w:bCs/>
        </w:rPr>
        <w:t>2024</w:t>
      </w:r>
      <w:r>
        <w:rPr/>
        <w:t xml:space="preserve">, </w:t>
      </w:r>
      <w:r>
        <w:rPr>
          <w:i/>
          <w:iCs/>
        </w:rPr>
        <w:t>38</w:t>
      </w:r>
      <w:r>
        <w:rPr/>
        <w:t xml:space="preserve">, 5973–5989. </w:t>
      </w:r>
      <w:hyperlink r:id="rId81">
        <w:r>
          <w:rPr>
            <w:rStyle w:val="InternetLink"/>
          </w:rPr>
          <w:t>https://doi.org/10.1007/s11269-024-03937-2</w:t>
        </w:r>
      </w:hyperlink>
    </w:p>
    <w:p>
      <w:pPr>
        <w:pStyle w:val="MDPI81references"/>
        <w:numPr>
          <w:ilvl w:val="0"/>
          <w:numId w:val="59"/>
        </w:numPr>
        <w:ind w:left="425" w:hanging="425"/>
        <w:rPr/>
      </w:pPr>
      <w:r>
        <w:rPr/>
        <w:t>Cheng, M.; Fang, F.; Kinouchi, T.; Navon, I.M.; Pain, C.C. Long lead-time daily and monthly streamflow forecasting using machine learning methods</w:t>
      </w:r>
      <w:r>
        <w:rPr>
          <w:i/>
          <w:iCs/>
        </w:rPr>
        <w:t>. J. Hydrol</w:t>
      </w:r>
      <w:r>
        <w:rPr/>
        <w:t xml:space="preserve">. </w:t>
      </w:r>
      <w:r>
        <w:rPr>
          <w:b/>
          <w:bCs/>
        </w:rPr>
        <w:t>2020</w:t>
      </w:r>
      <w:r>
        <w:rPr/>
        <w:t xml:space="preserve">, </w:t>
      </w:r>
      <w:r>
        <w:rPr>
          <w:i/>
          <w:iCs/>
        </w:rPr>
        <w:t>590</w:t>
      </w:r>
      <w:r>
        <w:rPr/>
        <w:t xml:space="preserve">, 125376. </w:t>
      </w:r>
      <w:hyperlink r:id="rId82">
        <w:r>
          <w:rPr>
            <w:rStyle w:val="InternetLink"/>
          </w:rPr>
          <w:t>https://doi.org/10.1016/j.jhydrol.2020.125376</w:t>
        </w:r>
      </w:hyperlink>
    </w:p>
    <w:p>
      <w:pPr>
        <w:pStyle w:val="MDPI81references"/>
        <w:numPr>
          <w:ilvl w:val="0"/>
          <w:numId w:val="60"/>
        </w:numPr>
        <w:ind w:left="425" w:hanging="425"/>
        <w:rPr/>
      </w:pPr>
      <w:r>
        <w:rPr/>
        <w:t xml:space="preserve">Rose, M.A.J.; Chithra, N.R. Tree-based ensemble model prediction for hydrological drought in a tropical river basin of India. </w:t>
      </w:r>
      <w:r>
        <w:rPr>
          <w:i/>
          <w:iCs/>
        </w:rPr>
        <w:t>Int. J. Environ. Sci. Technol</w:t>
      </w:r>
      <w:r>
        <w:rPr/>
        <w:t xml:space="preserve">. </w:t>
      </w:r>
      <w:r>
        <w:rPr>
          <w:b/>
          <w:bCs/>
        </w:rPr>
        <w:t>2023</w:t>
      </w:r>
      <w:r>
        <w:rPr/>
        <w:t xml:space="preserve">, </w:t>
      </w:r>
      <w:r>
        <w:rPr>
          <w:i/>
          <w:iCs/>
        </w:rPr>
        <w:t>20</w:t>
      </w:r>
      <w:r>
        <w:rPr/>
        <w:t xml:space="preserve">, 4973–4990. </w:t>
      </w:r>
      <w:hyperlink r:id="rId83">
        <w:r>
          <w:rPr>
            <w:rStyle w:val="InternetLink"/>
          </w:rPr>
          <w:t>https://doi.org/10.1007/s13762-022-04208-6</w:t>
        </w:r>
      </w:hyperlink>
    </w:p>
    <w:p>
      <w:pPr>
        <w:pStyle w:val="MDPI81references"/>
        <w:numPr>
          <w:ilvl w:val="0"/>
          <w:numId w:val="61"/>
        </w:numPr>
        <w:ind w:left="425" w:hanging="425"/>
        <w:rPr/>
      </w:pPr>
      <w:r>
        <w:rPr/>
        <w:t xml:space="preserve">Schmidt, L.; Heße, F.; Attinger, S.; Kumar, R. Challenges in applying machine learning models for hydrological inference: A case study for flooding events across Germany. </w:t>
      </w:r>
      <w:r>
        <w:rPr>
          <w:i/>
          <w:iCs/>
        </w:rPr>
        <w:t>Water Resour. Res</w:t>
      </w:r>
      <w:r>
        <w:rPr/>
        <w:t xml:space="preserve">. </w:t>
      </w:r>
      <w:r>
        <w:rPr>
          <w:b/>
          <w:bCs/>
        </w:rPr>
        <w:t>2020</w:t>
      </w:r>
      <w:r>
        <w:rPr/>
        <w:t xml:space="preserve">, </w:t>
      </w:r>
      <w:r>
        <w:rPr>
          <w:i/>
          <w:iCs/>
        </w:rPr>
        <w:t>56</w:t>
      </w:r>
      <w:r>
        <w:rPr/>
        <w:t xml:space="preserve">, e2019WR025924. </w:t>
      </w:r>
      <w:hyperlink r:id="rId84">
        <w:r>
          <w:rPr>
            <w:rStyle w:val="InternetLink"/>
          </w:rPr>
          <w:t>https://doi.org/10.1029/2019WR025924</w:t>
        </w:r>
      </w:hyperlink>
    </w:p>
    <w:p>
      <w:pPr>
        <w:pStyle w:val="MDPI81references"/>
        <w:numPr>
          <w:ilvl w:val="0"/>
          <w:numId w:val="62"/>
        </w:numPr>
        <w:ind w:left="425" w:hanging="425"/>
        <w:rPr/>
      </w:pPr>
      <w:r>
        <w:rPr/>
        <w:t>Li, K.; Huang, G.; Baetz, B. Development of a Wilks feature importance method with improved variable rankings for supporting hydrological inference and modelling</w:t>
      </w:r>
      <w:r>
        <w:rPr>
          <w:i/>
          <w:iCs/>
        </w:rPr>
        <w:t>. Hydrol. Earth Syst. Sci</w:t>
      </w:r>
      <w:r>
        <w:rPr/>
        <w:t xml:space="preserve">. </w:t>
      </w:r>
      <w:r>
        <w:rPr>
          <w:b/>
          <w:bCs/>
        </w:rPr>
        <w:t>2021</w:t>
      </w:r>
      <w:r>
        <w:rPr/>
        <w:t xml:space="preserve">, </w:t>
      </w:r>
      <w:r>
        <w:rPr>
          <w:i/>
          <w:iCs/>
        </w:rPr>
        <w:t>25</w:t>
      </w:r>
      <w:r>
        <w:rPr/>
        <w:t xml:space="preserve">, 4947–4966, </w:t>
      </w:r>
      <w:hyperlink r:id="rId85">
        <w:r>
          <w:rPr>
            <w:rStyle w:val="InternetLink"/>
          </w:rPr>
          <w:t>https://doi.org/10.5194/hess-25-4947-2021</w:t>
        </w:r>
      </w:hyperlink>
    </w:p>
    <w:p>
      <w:pPr>
        <w:pStyle w:val="MDPI81references"/>
        <w:numPr>
          <w:ilvl w:val="0"/>
          <w:numId w:val="63"/>
        </w:numPr>
        <w:ind w:left="425" w:hanging="425"/>
        <w:rPr/>
      </w:pPr>
      <w:r>
        <w:rPr/>
        <w:t xml:space="preserve">Knoben, W.J.M.; Freer, J.E.; Woods, R.A. Technical note: Inherent benchmark or not? Comparing Nash–Sutcliffe and Kling–Gupta efficiency scores. </w:t>
      </w:r>
      <w:r>
        <w:rPr>
          <w:i/>
          <w:iCs/>
        </w:rPr>
        <w:t>Hydrol. Earth Syst. Sci</w:t>
      </w:r>
      <w:r>
        <w:rPr/>
        <w:t xml:space="preserve">. </w:t>
      </w:r>
      <w:r>
        <w:rPr>
          <w:b/>
          <w:bCs/>
        </w:rPr>
        <w:t>2019</w:t>
      </w:r>
      <w:r>
        <w:rPr/>
        <w:t xml:space="preserve">, </w:t>
      </w:r>
      <w:r>
        <w:rPr>
          <w:i/>
          <w:iCs/>
        </w:rPr>
        <w:t>23</w:t>
      </w:r>
      <w:r>
        <w:rPr/>
        <w:t xml:space="preserve">, 4323–4331, </w:t>
      </w:r>
      <w:hyperlink r:id="rId86">
        <w:r>
          <w:rPr>
            <w:rStyle w:val="InternetLink"/>
          </w:rPr>
          <w:t>https://doi.org/10.5194/hess-23-4323-2019</w:t>
        </w:r>
      </w:hyperlink>
      <w:r>
        <w:rPr/>
        <w:t>.</w:t>
      </w:r>
    </w:p>
    <w:p>
      <w:pPr>
        <w:pStyle w:val="MDPI81references"/>
        <w:numPr>
          <w:ilvl w:val="0"/>
          <w:numId w:val="64"/>
        </w:numPr>
        <w:ind w:left="425" w:hanging="425"/>
        <w:rPr>
          <w:color w:val="FF0000"/>
        </w:rPr>
      </w:pPr>
      <w:r>
        <w:rPr>
          <w:color w:val="FF0000"/>
        </w:rPr>
        <w:t xml:space="preserve">Krysanova, V., &amp; Arnold, J. G. (2008). Advances in ecohydrological modelling with SWAT—a review. </w:t>
      </w:r>
      <w:r>
        <w:rPr>
          <w:i/>
          <w:color w:val="FF0000"/>
        </w:rPr>
        <w:t>Hydrological Sciences Journal</w:t>
      </w:r>
      <w:r>
        <w:rPr>
          <w:color w:val="FF0000"/>
        </w:rPr>
        <w:t xml:space="preserve">, </w:t>
      </w:r>
      <w:r>
        <w:rPr>
          <w:i/>
          <w:color w:val="FF0000"/>
        </w:rPr>
        <w:t>53</w:t>
      </w:r>
      <w:r>
        <w:rPr>
          <w:color w:val="FF0000"/>
        </w:rPr>
        <w:t>(5), 939-947.</w:t>
      </w:r>
    </w:p>
    <w:p>
      <w:pPr>
        <w:pStyle w:val="MDPI81references"/>
        <w:numPr>
          <w:ilvl w:val="0"/>
          <w:numId w:val="65"/>
        </w:numPr>
        <w:ind w:left="425" w:hanging="425"/>
        <w:rPr>
          <w:color w:val="FF0000"/>
        </w:rPr>
      </w:pPr>
      <w:r>
        <w:rPr>
          <w:color w:val="FF0000"/>
        </w:rPr>
        <w:t xml:space="preserve">Bizuneh, B. B., Moges, M. A., Sinshaw, B. G., &amp; Kerebih, M. S. (2021). SWAT and HBV models’ response to streamflow estimation in the upper Blue Nile Basin, Ethiopia. </w:t>
      </w:r>
      <w:r>
        <w:rPr>
          <w:i/>
          <w:color w:val="FF0000"/>
        </w:rPr>
        <w:t>Water-Energy Nexus</w:t>
      </w:r>
      <w:r>
        <w:rPr>
          <w:color w:val="FF0000"/>
        </w:rPr>
        <w:t xml:space="preserve">, </w:t>
      </w:r>
      <w:r>
        <w:rPr>
          <w:i/>
          <w:color w:val="FF0000"/>
        </w:rPr>
        <w:t>4</w:t>
      </w:r>
      <w:r>
        <w:rPr>
          <w:color w:val="FF0000"/>
        </w:rPr>
        <w:t>, 41-53.</w:t>
      </w:r>
    </w:p>
    <w:p>
      <w:pPr>
        <w:pStyle w:val="MDPI81references"/>
        <w:numPr>
          <w:ilvl w:val="0"/>
          <w:numId w:val="66"/>
        </w:numPr>
        <w:ind w:left="425" w:hanging="425"/>
        <w:rPr>
          <w:color w:val="FF0000"/>
        </w:rPr>
      </w:pPr>
      <w:r>
        <w:rPr>
          <w:color w:val="FF0000"/>
        </w:rPr>
        <w:t xml:space="preserve">Simonov, Y. A., Semenova, N. K., &amp; Khristoforov, A. V. (2021). Short-range streamflow forecasting of the Kama River Based on the HBV model application. </w:t>
      </w:r>
      <w:r>
        <w:rPr>
          <w:i/>
          <w:color w:val="FF0000"/>
        </w:rPr>
        <w:t>Russian Meteorology and Hydrology</w:t>
      </w:r>
      <w:r>
        <w:rPr>
          <w:color w:val="FF0000"/>
        </w:rPr>
        <w:t xml:space="preserve">, </w:t>
      </w:r>
      <w:r>
        <w:rPr>
          <w:i/>
          <w:color w:val="FF0000"/>
        </w:rPr>
        <w:t>46</w:t>
      </w:r>
      <w:r>
        <w:rPr>
          <w:color w:val="FF0000"/>
        </w:rPr>
        <w:t>(6), 388-39</w:t>
      </w:r>
      <w:r>
        <w:rPr>
          <w:color w:val="FF0000"/>
        </w:rPr>
        <w:t xml:space="preserve">5. </w:t>
      </w:r>
    </w:p>
    <w:p>
      <w:pPr>
        <w:pStyle w:val="MDPI81references"/>
        <w:numPr>
          <w:ilvl w:val="0"/>
          <w:numId w:val="67"/>
        </w:numPr>
        <w:ind w:left="425" w:hanging="425"/>
        <w:rPr>
          <w:color w:val="FF0000"/>
        </w:rPr>
      </w:pPr>
      <w:r>
        <w:rPr>
          <w:color w:val="FF0000"/>
        </w:rPr>
        <w:t xml:space="preserve">Williams, G. P. (2025). Friends Don’t Let Friends use Nash-Sutcliffe Efficiency (NSE) or KGE for Hydrologic Model Accuracy Evaluation: A rant with data and suggestions for better practice. </w:t>
      </w:r>
      <w:r>
        <w:rPr>
          <w:i/>
          <w:color w:val="FF0000"/>
        </w:rPr>
        <w:t>Environmental Modelling &amp; Software</w:t>
      </w:r>
      <w:r>
        <w:rPr>
          <w:color w:val="FF0000"/>
        </w:rPr>
        <w:t>, 106665.</w:t>
      </w:r>
    </w:p>
    <w:p>
      <w:pPr>
        <w:pStyle w:val="MDPI81references"/>
        <w:numPr>
          <w:ilvl w:val="0"/>
          <w:numId w:val="68"/>
        </w:numPr>
        <w:ind w:left="425" w:hanging="425"/>
        <w:rPr>
          <w:color w:val="FF0000"/>
        </w:rPr>
      </w:pPr>
      <w:r>
        <w:rPr>
          <w:color w:val="FF0000"/>
        </w:rPr>
        <w:t xml:space="preserve">Xu, F., Uszkoreit, H., Du, Y., Fan, W., Zhao, D., &amp; Zhu, J. (2019, September). Explainable AI: A brief survey on history, research areas, approaches and challenges. In </w:t>
      </w:r>
      <w:r>
        <w:rPr>
          <w:i/>
          <w:color w:val="FF0000"/>
        </w:rPr>
        <w:t>CCF international conference on natural language processing and Chinese computing</w:t>
      </w:r>
      <w:r>
        <w:rPr>
          <w:color w:val="FF0000"/>
        </w:rPr>
        <w:t xml:space="preserve"> (pp. 563-574). Cham: Springer International Publishing.</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87"/>
      <w:headerReference w:type="default" r:id="rId88"/>
      <w:headerReference w:type="first" r:id="rId89"/>
      <w:footerReference w:type="even" r:id="rId90"/>
      <w:footerReference w:type="default" r:id="rId91"/>
      <w:footerReference w:type="first" r:id="rId9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25</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25</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7"/>
      <w:gridCol w:w="4537"/>
      <w:gridCol w:w="2273"/>
    </w:tblGrid>
    <w:tr>
      <w:trPr>
        <w:trHeight w:val="686" w:hRule="atLeast"/>
      </w:trPr>
      <w:tc>
        <w:tcPr>
          <w:tcW w:w="3677"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7"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5">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lvlOverride w:ilvl="0">
      <w:startOverride w:val="1"/>
    </w:lvlOverride>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6"/>
  </w:num>
  <w:num w:numId="44">
    <w:abstractNumId w:val="6"/>
  </w:num>
  <w:num w:numId="45">
    <w:abstractNumId w:val="6"/>
  </w:num>
  <w:num w:numId="46">
    <w:abstractNumId w:val="6"/>
  </w:num>
  <w:num w:numId="47">
    <w:abstractNumId w:val="6"/>
  </w:num>
  <w:num w:numId="48">
    <w:abstractNumId w:val="6"/>
  </w:num>
  <w:num w:numId="49">
    <w:abstractNumId w:val="6"/>
  </w:num>
  <w:num w:numId="50">
    <w:abstractNumId w:val="6"/>
  </w:num>
  <w:num w:numId="51">
    <w:abstractNumId w:val="6"/>
  </w:num>
  <w:num w:numId="52">
    <w:abstractNumId w:val="6"/>
  </w:num>
  <w:num w:numId="53">
    <w:abstractNumId w:val="6"/>
  </w:num>
  <w:num w:numId="54">
    <w:abstractNumId w:val="6"/>
  </w:num>
  <w:num w:numId="55">
    <w:abstractNumId w:val="6"/>
  </w:num>
  <w:num w:numId="56">
    <w:abstractNumId w:val="6"/>
  </w:num>
  <w:num w:numId="57">
    <w:abstractNumId w:val="6"/>
  </w:num>
  <w:num w:numId="58">
    <w:abstractNumId w:val="6"/>
  </w:num>
  <w:num w:numId="59">
    <w:abstractNumId w:val="6"/>
  </w:num>
  <w:num w:numId="60">
    <w:abstractNumId w:val="6"/>
  </w:num>
  <w:num w:numId="61">
    <w:abstractNumId w:val="6"/>
  </w:num>
  <w:num w:numId="62">
    <w:abstractNumId w:val="6"/>
  </w:num>
  <w:num w:numId="63">
    <w:abstractNumId w:val="6"/>
  </w:num>
  <w:num w:numId="64">
    <w:abstractNumId w:val="6"/>
  </w:num>
  <w:num w:numId="65">
    <w:abstractNumId w:val="6"/>
  </w:num>
  <w:num w:numId="66">
    <w:abstractNumId w:val="6"/>
  </w:num>
  <w:num w:numId="67">
    <w:abstractNumId w:val="6"/>
  </w:num>
  <w:num w:numId="68">
    <w:abstractNumId w:val="6"/>
  </w:num>
</w:numbering>
</file>

<file path=word/settings.xml><?xml version="1.0" encoding="utf-8"?>
<w:settings xmlns:w="http://schemas.openxmlformats.org/wordprocessingml/2006/main">
  <w:zoom w:percent="116"/>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paragraph" w:styleId="Heading1">
    <w:name w:val="Heading 1"/>
    <w:basedOn w:val="Heading"/>
    <w:next w:val="TextBody"/>
    <w:qFormat/>
    <w:pPr>
      <w:spacing w:before="240" w:after="120"/>
      <w:outlineLvl w:val="0"/>
    </w:pPr>
    <w:rPr>
      <w:rFonts w:ascii="Liberation Serif" w:hAnsi="Liberation Serif" w:eastAsia="Noto Serif CJK SC" w:cs="DejaVu Sans"/>
      <w:b/>
      <w:bCs/>
      <w:sz w:val="48"/>
      <w:szCs w:val="48"/>
    </w:rPr>
  </w:style>
  <w:style w:type="paragraph" w:styleId="Heading3">
    <w:name w:val="Heading 3"/>
    <w:basedOn w:val="Heading"/>
    <w:next w:val="TextBody"/>
    <w:qFormat/>
    <w:pPr>
      <w:spacing w:before="140" w:after="120"/>
      <w:outlineLvl w:val="2"/>
    </w:pPr>
    <w:rPr>
      <w:rFonts w:ascii="Liberation Serif" w:hAnsi="Liberation Serif" w:eastAsia="Noto Serif CJK SC" w:cs="DejaVu Sans"/>
      <w:b/>
      <w:bCs/>
      <w:sz w:val="28"/>
      <w:szCs w:val="28"/>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name w:val="Endnote Characters"/>
    <w:qFormat/>
    <w:rsid w:val="00e94b1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name w:val="Line Numbering"/>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suppressAutoHyphens w:val="true"/>
      <w:bidi w:val="0"/>
      <w:spacing w:lineRule="atLeast" w:line="340" w:before="0" w:after="120"/>
      <w:jc w:val="both"/>
    </w:pPr>
    <w:rPr>
      <w:rFonts w:ascii="Palatino Linotype" w:hAnsi="Palatino Linotype" w:eastAsia="SimSun" w:cs="Times New Roman"/>
      <w:color w:val="000000"/>
      <w:kern w:val="0"/>
      <w:sz w:val="24"/>
      <w:szCs w:val="20"/>
      <w:lang w:val="en-US" w:eastAsia="de-DE"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94b1b"/>
    <w:pPr>
      <w:widowControl/>
      <w:suppressAutoHyphens w:val="true"/>
      <w:bidi w:val="0"/>
      <w:snapToGrid w:val="false"/>
      <w:spacing w:before="240" w:after="0"/>
      <w:jc w:val="left"/>
    </w:pPr>
    <w:rPr>
      <w:rFonts w:ascii="Palatino Linotype" w:hAnsi="Palatino Linotype" w:eastAsia="Times New Roman" w:cs="Times New Roman"/>
      <w:i/>
      <w:color w:val="000000"/>
      <w:kern w:val="0"/>
      <w:sz w:val="20"/>
      <w:szCs w:val="22"/>
      <w:lang w:val="en-US" w:eastAsia="de-DE" w:bidi="en-US"/>
    </w:rPr>
  </w:style>
  <w:style w:type="paragraph" w:styleId="MDPI12title" w:customStyle="1">
    <w:name w:val="MDPI_1.2_title"/>
    <w:next w:val="Normal"/>
    <w:qFormat/>
    <w:rsid w:val="00e94b1b"/>
    <w:pPr>
      <w:widowControl/>
      <w:suppressAutoHyphens w:val="true"/>
      <w:bidi w:val="0"/>
      <w:snapToGrid w:val="false"/>
      <w:spacing w:lineRule="atLeast" w:line="240" w:before="0" w:after="240"/>
      <w:jc w:val="left"/>
    </w:pPr>
    <w:rPr>
      <w:rFonts w:ascii="Palatino Linotype" w:hAnsi="Palatino Linotype" w:eastAsia="Times New Roman" w:cs="Times New Roman"/>
      <w:b/>
      <w:color w:val="000000"/>
      <w:kern w:val="0"/>
      <w:sz w:val="36"/>
      <w:szCs w:val="20"/>
      <w:lang w:val="en-US" w:eastAsia="de-DE" w:bidi="en-US"/>
    </w:rPr>
  </w:style>
  <w:style w:type="paragraph" w:styleId="MDPI13authornames" w:customStyle="1">
    <w:name w:val="MDPI_1.3_authornames"/>
    <w:next w:val="Normal"/>
    <w:qFormat/>
    <w:rsid w:val="00e94b1b"/>
    <w:pPr>
      <w:widowControl/>
      <w:suppressAutoHyphens w:val="true"/>
      <w:bidi w:val="0"/>
      <w:snapToGrid w:val="false"/>
      <w:spacing w:lineRule="atLeast" w:line="260" w:before="0" w:after="360"/>
      <w:jc w:val="left"/>
    </w:pPr>
    <w:rPr>
      <w:rFonts w:ascii="Palatino Linotype" w:hAnsi="Palatino Linotype" w:eastAsia="Times New Roman" w:cs="Times New Roman"/>
      <w:b/>
      <w:color w:val="000000"/>
      <w:kern w:val="0"/>
      <w:sz w:val="20"/>
      <w:szCs w:val="22"/>
      <w:lang w:val="en-US" w:eastAsia="de-DE" w:bidi="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suppressAutoHyphens w:val="true"/>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val="en-US" w:eastAsia="de-DE" w:bidi="en-US"/>
    </w:rPr>
  </w:style>
  <w:style w:type="paragraph" w:styleId="MDPI17abstract" w:customStyle="1">
    <w:name w:val="MDPI_1.7_abstract"/>
    <w:next w:val="Normal"/>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8keywords" w:customStyle="1">
    <w:name w:val="MDPI_1.8_keywords"/>
    <w:next w:val="Normal"/>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9line" w:customStyle="1">
    <w:name w:val="MDPI_1.9_line"/>
    <w:qFormat/>
    <w:rsid w:val="00e94b1b"/>
    <w:pPr>
      <w:widowControl/>
      <w:pBdr>
        <w:bottom w:val="single" w:sz="6" w:space="1" w:color="000000"/>
      </w:pBdr>
      <w:suppressAutoHyphens w:val="true"/>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val="en-US" w:eastAsia="de-DE" w:bidi="en-US"/>
    </w:rPr>
  </w:style>
  <w:style w:type="paragraph" w:styleId="HeaderandFooter">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3textspaceafter" w:customStyle="1">
    <w:name w:val="MDPI_3.3_text_space_after"/>
    <w:qFormat/>
    <w:rsid w:val="00e94b1b"/>
    <w:pPr>
      <w:widowControl/>
      <w:suppressAutoHyphens w:val="true"/>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5textbeforelist" w:customStyle="1">
    <w:name w:val="MDPI_3.5_text_before_list"/>
    <w:qFormat/>
    <w:rsid w:val="00e94b1b"/>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6textafterlist" w:customStyle="1">
    <w:name w:val="MDPI_3.6_text_after_list"/>
    <w:qFormat/>
    <w:rsid w:val="00e94b1b"/>
    <w:pPr>
      <w:widowControl/>
      <w:suppressAutoHyphens w:val="true"/>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7itemize" w:customStyle="1">
    <w:name w:val="MDPI_3.7_itemize"/>
    <w:qFormat/>
    <w:rsid w:val="00a21467"/>
    <w:pPr>
      <w:widowControl/>
      <w:numPr>
        <w:ilvl w:val="0"/>
        <w:numId w:val="4"/>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8bullet" w:customStyle="1">
    <w:name w:val="MDPI_3.8_bullet"/>
    <w:qFormat/>
    <w:rsid w:val="00a21467"/>
    <w:pPr>
      <w:widowControl/>
      <w:numPr>
        <w:ilvl w:val="0"/>
        <w:numId w:val="2"/>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9equation" w:customStyle="1">
    <w:name w:val="MDPI_3.9_equation"/>
    <w:qFormat/>
    <w:rsid w:val="00e94b1b"/>
    <w:pPr>
      <w:widowControl/>
      <w:suppressAutoHyphens w:val="true"/>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val="en-US" w:eastAsia="de-DE" w:bidi="en-US"/>
    </w:rPr>
  </w:style>
  <w:style w:type="paragraph" w:styleId="MDPI3aequationnumber" w:customStyle="1">
    <w:name w:val="MDPI_3.a_equation_number"/>
    <w:qFormat/>
    <w:rsid w:val="00e94b1b"/>
    <w:pPr>
      <w:widowControl/>
      <w:suppressAutoHyphens w:val="true"/>
      <w:bidi w:val="0"/>
      <w:spacing w:lineRule="atLeast" w:line="280" w:before="120" w:after="120"/>
      <w:jc w:val="right"/>
    </w:pPr>
    <w:rPr>
      <w:rFonts w:ascii="Palatino Linotype" w:hAnsi="Palatino Linotype" w:eastAsia="Times New Roman" w:cs="Times New Roman"/>
      <w:color w:val="000000"/>
      <w:kern w:val="0"/>
      <w:sz w:val="20"/>
      <w:szCs w:val="22"/>
      <w:lang w:val="en-US" w:eastAsia="de-DE" w:bidi="en-US"/>
    </w:rPr>
  </w:style>
  <w:style w:type="paragraph" w:styleId="MDPI41tablecaption" w:customStyle="1">
    <w:name w:val="MDPI_4.1_table_caption"/>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42tablebody" w:customStyle="1">
    <w:name w:val="MDPI_4.2_table_body"/>
    <w:qFormat/>
    <w:rsid w:val="00f70c3b"/>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val="en-US" w:eastAsia="de-DE" w:bidi="en-US"/>
    </w:rPr>
  </w:style>
  <w:style w:type="paragraph" w:styleId="MDPI43tablefooter" w:customStyle="1">
    <w:name w:val="MDPI_4.3_table_footer"/>
    <w:next w:val="MDPI31text"/>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51figurecaption" w:customStyle="1">
    <w:name w:val="MDPI_5.1_figure_caption"/>
    <w:qFormat/>
    <w:rsid w:val="00e94b1b"/>
    <w:pPr>
      <w:widowControl/>
      <w:suppressAutoHyphens w:val="true"/>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val="en-US" w:eastAsia="de-DE" w:bidi="en-US"/>
    </w:rPr>
  </w:style>
  <w:style w:type="paragraph" w:styleId="MDPI52figure" w:customStyle="1">
    <w:name w:val="MDPI_5.2_figure"/>
    <w:qFormat/>
    <w:rsid w:val="00e94b1b"/>
    <w:pPr>
      <w:widowControl/>
      <w:suppressAutoHyphens w:val="true"/>
      <w:bidi w:val="0"/>
      <w:snapToGrid w:val="false"/>
      <w:spacing w:before="240" w:after="120"/>
      <w:jc w:val="center"/>
    </w:pPr>
    <w:rPr>
      <w:rFonts w:ascii="Palatino Linotype" w:hAnsi="Palatino Linotype" w:eastAsia="Times New Roman" w:cs="Times New Roman"/>
      <w:color w:val="000000"/>
      <w:kern w:val="0"/>
      <w:sz w:val="20"/>
      <w:szCs w:val="20"/>
      <w:lang w:val="en-US" w:eastAsia="de-DE" w:bidi="en-US"/>
    </w:rPr>
  </w:style>
  <w:style w:type="paragraph" w:styleId="MDPI23heading3" w:customStyle="1">
    <w:name w:val="MDPI_2.3_heading3"/>
    <w:qFormat/>
    <w:rsid w:val="00e94b1b"/>
    <w:pPr>
      <w:widowControl/>
      <w:suppressAutoHyphens w:val="true"/>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val="en-US" w:eastAsia="de-DE" w:bidi="en-US"/>
    </w:rPr>
  </w:style>
  <w:style w:type="paragraph" w:styleId="MDPI21heading1" w:customStyle="1">
    <w:name w:val="MDPI_2.1_heading1"/>
    <w:qFormat/>
    <w:rsid w:val="00e94b1b"/>
    <w:pPr>
      <w:widowControl/>
      <w:suppressAutoHyphens w:val="true"/>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val="en-US" w:eastAsia="de-DE" w:bidi="en-US"/>
    </w:rPr>
  </w:style>
  <w:style w:type="paragraph" w:styleId="MDPI22heading2" w:customStyle="1">
    <w:name w:val="MDPI_2.2_heading2"/>
    <w:qFormat/>
    <w:rsid w:val="00e94b1b"/>
    <w:pPr>
      <w:widowControl/>
      <w:suppressAutoHyphens w:val="true"/>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val="en-US" w:eastAsia="de-DE" w:bidi="en-US"/>
    </w:rPr>
  </w:style>
  <w:style w:type="paragraph" w:styleId="MDPI81references" w:customStyle="1">
    <w:name w:val="MDPI_8.1_references"/>
    <w:qFormat/>
    <w:rsid w:val="00ae6fcb"/>
    <w:pPr>
      <w:widowControl/>
      <w:numPr>
        <w:ilvl w:val="0"/>
        <w:numId w:val="5"/>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18"/>
      <w:szCs w:val="20"/>
      <w:lang w:val="en-US" w:eastAsia="de-DE" w:bidi="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82theorem" w:customStyle="1">
    <w:name w:val="MDPI_8.2_theorem"/>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val="en-US" w:eastAsia="de-DE" w:bidi="en-US"/>
    </w:rPr>
  </w:style>
  <w:style w:type="paragraph" w:styleId="MDPI83proof" w:customStyle="1">
    <w:name w:val="MDPI_8.3_proof"/>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61citation" w:customStyle="1">
    <w:name w:val="MDPI_6.1_citation"/>
    <w:qFormat/>
    <w:rsid w:val="00e94b1b"/>
    <w:pPr>
      <w:widowControl/>
      <w:suppressAutoHyphens w:val="true"/>
      <w:bidi w:val="0"/>
      <w:snapToGrid w:val="false"/>
      <w:spacing w:lineRule="atLeast" w:line="240" w:before="120" w:after="120"/>
      <w:ind w:right="113" w:hanging="0"/>
      <w:jc w:val="left"/>
    </w:pPr>
    <w:rPr>
      <w:rFonts w:ascii="Palatino Linotype" w:hAnsi="Palatino Linotype" w:eastAsia="SimSun" w:cs="Cordia New"/>
      <w:color w:val="auto"/>
      <w:kern w:val="0"/>
      <w:sz w:val="14"/>
      <w:szCs w:val="22"/>
      <w:lang w:val="en-US" w:eastAsia="zh-CN" w:bidi="ar-SA"/>
    </w:rPr>
  </w:style>
  <w:style w:type="paragraph" w:styleId="MDPI62backmatter" w:customStyle="1">
    <w:name w:val="MDPI_6.2_back_matter"/>
    <w:qFormat/>
    <w:rsid w:val="00e94b1b"/>
    <w:pPr>
      <w:widowControl/>
      <w:suppressAutoHyphens w:val="true"/>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val="en-US" w:eastAsia="en-US" w:bidi="en-US"/>
    </w:rPr>
  </w:style>
  <w:style w:type="paragraph" w:styleId="MDPI63notes" w:customStyle="1">
    <w:name w:val="MDPI_6.3_notes"/>
    <w:qFormat/>
    <w:rsid w:val="00e94b1b"/>
    <w:pPr>
      <w:widowControl/>
      <w:suppressAutoHyphens w:val="true"/>
      <w:bidi w:val="0"/>
      <w:snapToGrid w:val="false"/>
      <w:spacing w:lineRule="atLeast" w:line="280" w:before="240" w:after="0"/>
      <w:jc w:val="both"/>
    </w:pPr>
    <w:rPr>
      <w:rFonts w:ascii="Palatino Linotype" w:hAnsi="Palatino Linotype" w:eastAsia="SimSun" w:cs="Times New Roman"/>
      <w:color w:val="000000"/>
      <w:kern w:val="0"/>
      <w:sz w:val="18"/>
      <w:szCs w:val="20"/>
      <w:lang w:val="en-US" w:eastAsia="en-US" w:bidi="en-US"/>
    </w:rPr>
  </w:style>
  <w:style w:type="paragraph" w:styleId="MDPI15academiceditor" w:customStyle="1">
    <w:name w:val="MDPI_1.5_academic_editor"/>
    <w:qFormat/>
    <w:rsid w:val="00d86e97"/>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val="en-US" w:eastAsia="de-DE" w:bidi="en-US"/>
    </w:rPr>
  </w:style>
  <w:style w:type="paragraph" w:styleId="MDPI411onetablecaption" w:customStyle="1">
    <w:name w:val="MDPI_4.1.1_one_table_caption"/>
    <w:qFormat/>
    <w:rsid w:val="00e94b1b"/>
    <w:pPr>
      <w:widowControl/>
      <w:suppressAutoHyphens w:val="true"/>
      <w:bidi w:val="0"/>
      <w:snapToGrid w:val="false"/>
      <w:spacing w:lineRule="atLeast" w:line="280" w:before="240" w:after="120"/>
      <w:jc w:val="center"/>
    </w:pPr>
    <w:rPr>
      <w:rFonts w:ascii="Palatino Linotype" w:hAnsi="Palatino Linotype" w:eastAsia="SimSun" w:cs="Cordia New"/>
      <w:color w:val="000000"/>
      <w:kern w:val="0"/>
      <w:sz w:val="18"/>
      <w:szCs w:val="22"/>
      <w:lang w:val="en-US" w:eastAsia="zh-CN" w:bidi="en-US"/>
    </w:rPr>
  </w:style>
  <w:style w:type="paragraph" w:styleId="MDPI511onefigurecaption" w:customStyle="1">
    <w:name w:val="MDPI_5.1.1_one_figure_caption"/>
    <w:qFormat/>
    <w:rsid w:val="00e94b1b"/>
    <w:pPr>
      <w:widowControl/>
      <w:suppressAutoHyphens w:val="true"/>
      <w:bidi w:val="0"/>
      <w:snapToGrid w:val="false"/>
      <w:spacing w:lineRule="atLeast" w:line="280" w:before="240" w:after="120"/>
      <w:jc w:val="center"/>
    </w:pPr>
    <w:rPr>
      <w:rFonts w:ascii="Palatino Linotype" w:hAnsi="Palatino Linotype" w:eastAsia="SimSun" w:cs="Times New Roman"/>
      <w:color w:val="000000"/>
      <w:kern w:val="0"/>
      <w:sz w:val="18"/>
      <w:szCs w:val="20"/>
      <w:lang w:val="en-US" w:eastAsia="zh-CN" w:bidi="en-US"/>
    </w:rPr>
  </w:style>
  <w:style w:type="paragraph" w:styleId="MDPI72copyright" w:customStyle="1">
    <w:name w:val="MDPI_7.2_copyright"/>
    <w:qFormat/>
    <w:rsid w:val="00cd3cfb"/>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3"/>
      </w:numPr>
      <w:suppressAutoHyphens w:val="true"/>
      <w:bidi w:val="0"/>
      <w:snapToGrid w:val="false"/>
      <w:spacing w:lineRule="atLeast" w:line="280" w:before="0" w:after="0"/>
      <w:jc w:val="left"/>
    </w:pPr>
    <w:rPr>
      <w:rFonts w:ascii="Palatino Linotype" w:hAnsi="Palatino Linotype" w:eastAsia="等线" w:cs="Times New Roman" w:eastAsiaTheme="minorEastAsia"/>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hyperlink" Target="mailto:lescesen@uh.savba.sk" TargetMode="External"/><Relationship Id="rId5" Type="http://schemas.openxmlformats.org/officeDocument/2006/relationships/hyperlink" Target="" TargetMode="External"/><Relationship Id="rId6" Type="http://schemas.openxmlformats.org/officeDocument/2006/relationships/hyperlink" Target="mailto:marko.dukanovic@ung.si" TargetMode="External"/><Relationship Id="rId7" Type="http://schemas.openxmlformats.org/officeDocument/2006/relationships/image" Target="media/image1.w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diagramData" Target="diagrams/data13.xml"/><Relationship Id="rId20" Type="http://schemas.openxmlformats.org/officeDocument/2006/relationships/diagramLayout" Target="diagrams/layout13.xml"/><Relationship Id="rId21" Type="http://schemas.openxmlformats.org/officeDocument/2006/relationships/diagramQuickStyle" Target="diagrams/quickStyle13.xml"/><Relationship Id="rId22" Type="http://schemas.openxmlformats.org/officeDocument/2006/relationships/diagramColors" Target="diagrams/colors13.xml"/><Relationship Id="rId23" Type="http://schemas.microsoft.com/office/2007/relationships/diagramDrawing" Target="diagrams/drawing13.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18.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hyperlink" Target="https://img.mdpi.org/data/contributor-role-instruction.pdf" TargetMode="External"/><Relationship Id="rId37" Type="http://schemas.openxmlformats.org/officeDocument/2006/relationships/hyperlink" Target="https://doi.org/10.1007/s42452-024-06083-x" TargetMode="External"/><Relationship Id="rId38" Type="http://schemas.openxmlformats.org/officeDocument/2006/relationships/hyperlink" Target="https://doi.org/10.1016/j.ejrh.2025.102549" TargetMode="External"/><Relationship Id="rId39" Type="http://schemas.openxmlformats.org/officeDocument/2006/relationships/hyperlink" Target="https://doi.org/10.2166/hydro.2024.061" TargetMode="External"/><Relationship Id="rId40" Type="http://schemas.openxmlformats.org/officeDocument/2006/relationships/hyperlink" Target="https://doi.org/10.1038/s41598-024-78012-2" TargetMode="External"/><Relationship Id="rId41" Type="http://schemas.openxmlformats.org/officeDocument/2006/relationships/hyperlink" Target="https://doi.org/10.1007/s13201-025-02632-w" TargetMode="External"/><Relationship Id="rId42" Type="http://schemas.openxmlformats.org/officeDocument/2006/relationships/hyperlink" Target="https://doi.org/10.2166/wpt.2025.153" TargetMode="External"/><Relationship Id="rId43" Type="http://schemas.openxmlformats.org/officeDocument/2006/relationships/hyperlink" Target="https://doi.org/10.1016/j.jhydrol.2020.124901" TargetMode="External"/><Relationship Id="rId44" Type="http://schemas.openxmlformats.org/officeDocument/2006/relationships/hyperlink" Target="https://doi.org/10.1016/j.rineng.2024.102215" TargetMode="External"/><Relationship Id="rId45" Type="http://schemas.openxmlformats.org/officeDocument/2006/relationships/hyperlink" Target="https://doi.org/10.3390/earth6030064" TargetMode="External"/><Relationship Id="rId46" Type="http://schemas.openxmlformats.org/officeDocument/2006/relationships/hyperlink" Target="https://doi.org/10.1029/2019WR026793" TargetMode="External"/><Relationship Id="rId47" Type="http://schemas.openxmlformats.org/officeDocument/2006/relationships/hyperlink" Target="https://doi.org/10.1016/S0022-1694(98)00242-X" TargetMode="External"/><Relationship Id="rId48" Type="http://schemas.openxmlformats.org/officeDocument/2006/relationships/hyperlink" Target="https://doi.org/10.3390/w10050628" TargetMode="External"/><Relationship Id="rId49" Type="http://schemas.openxmlformats.org/officeDocument/2006/relationships/hyperlink" Target="https://doi.org/10.1080/02626667.2015.1055271" TargetMode="External"/><Relationship Id="rId50" Type="http://schemas.openxmlformats.org/officeDocument/2006/relationships/hyperlink" Target="https://doi.org/10.5194/hess-26-5449-2022" TargetMode="External"/><Relationship Id="rId51" Type="http://schemas.openxmlformats.org/officeDocument/2006/relationships/hyperlink" Target="https://doi.org/10.3390/w17060907" TargetMode="External"/><Relationship Id="rId52" Type="http://schemas.openxmlformats.org/officeDocument/2006/relationships/hyperlink" Target="https://doi.org/10.2166/hydro.2025.276" TargetMode="External"/><Relationship Id="rId53" Type="http://schemas.openxmlformats.org/officeDocument/2006/relationships/hyperlink" Target="https://doi.org/10.1016/j.jhydrol.2022.127515" TargetMode="External"/><Relationship Id="rId54" Type="http://schemas.openxmlformats.org/officeDocument/2006/relationships/hyperlink" Target="https://doi.org/10.3390/hydrology12070168" TargetMode="External"/><Relationship Id="rId55" Type="http://schemas.openxmlformats.org/officeDocument/2006/relationships/hyperlink" Target="https://doi.org/10.3390/w7052494" TargetMode="External"/><Relationship Id="rId56" Type="http://schemas.openxmlformats.org/officeDocument/2006/relationships/hyperlink" Target="https://doi.org/10.1007/s13201-024-02135-0" TargetMode="External"/><Relationship Id="rId57" Type="http://schemas.openxmlformats.org/officeDocument/2006/relationships/hyperlink" Target="https://doi.org/10.5194/hess-25-2997-2021" TargetMode="External"/><Relationship Id="rId58" Type="http://schemas.openxmlformats.org/officeDocument/2006/relationships/hyperlink" Target="https://doi.org/10.3934/environsci.2024029" TargetMode="External"/><Relationship Id="rId59" Type="http://schemas.openxmlformats.org/officeDocument/2006/relationships/hyperlink" Target="https://doi.org/10.3390/w15142572" TargetMode="External"/><Relationship Id="rId60" Type="http://schemas.openxmlformats.org/officeDocument/2006/relationships/hyperlink" Target="https://doi.org/10.1080/15715124.2023.2245809" TargetMode="External"/><Relationship Id="rId61" Type="http://schemas.openxmlformats.org/officeDocument/2006/relationships/hyperlink" Target="https://doi.org/10.1007/s12145-023-01139-9" TargetMode="External"/><Relationship Id="rId62" Type="http://schemas.openxmlformats.org/officeDocument/2006/relationships/hyperlink" Target="https://doi.org/10.3390/w17162420" TargetMode="External"/><Relationship Id="rId63" Type="http://schemas.openxmlformats.org/officeDocument/2006/relationships/hyperlink" Target="https://doi.org/10.3390/w11071387" TargetMode="External"/><Relationship Id="rId64" Type="http://schemas.openxmlformats.org/officeDocument/2006/relationships/hyperlink" Target="https://doi.org/10.3390/ai5040101" TargetMode="External"/><Relationship Id="rId65" Type="http://schemas.openxmlformats.org/officeDocument/2006/relationships/hyperlink" Target="https://doi.org/10.1016/j.jhydrol.2025.133323" TargetMode="External"/><Relationship Id="rId66" Type="http://schemas.openxmlformats.org/officeDocument/2006/relationships/hyperlink" Target="https://doi.org/10.1080/02533839.2021.1933598" TargetMode="External"/><Relationship Id="rId67" Type="http://schemas.openxmlformats.org/officeDocument/2006/relationships/hyperlink" Target="https://doi.org/10.1145/3561048" TargetMode="External"/><Relationship Id="rId68" Type="http://schemas.openxmlformats.org/officeDocument/2006/relationships/hyperlink" Target="https://doi.org/10.5281/zenodo.15501323" TargetMode="External"/><Relationship Id="rId69" Type="http://schemas.openxmlformats.org/officeDocument/2006/relationships/hyperlink" Target="https://doi.org/10.1007/s12665-023-11040-9" TargetMode="External"/><Relationship Id="rId70" Type="http://schemas.openxmlformats.org/officeDocument/2006/relationships/hyperlink" Target="https://doi.org/10.28974/idojaras.2021.3.5" TargetMode="External"/><Relationship Id="rId71" Type="http://schemas.openxmlformats.org/officeDocument/2006/relationships/hyperlink" Target="https://doi.org/10.1023/A:1010933404324" TargetMode="External"/><Relationship Id="rId72" Type="http://schemas.openxmlformats.org/officeDocument/2006/relationships/hyperlink" Target="https://doi.org/10.3390/w11050910" TargetMode="External"/><Relationship Id="rId73" Type="http://schemas.openxmlformats.org/officeDocument/2006/relationships/hyperlink" Target="https://doi.org/10.1016/j.jhydrol.2015.10.038" TargetMode="External"/><Relationship Id="rId74" Type="http://schemas.openxmlformats.org/officeDocument/2006/relationships/hyperlink" Target="https://doi.org/10.1145/2939672.2939785" TargetMode="External"/><Relationship Id="rId75" Type="http://schemas.openxmlformats.org/officeDocument/2006/relationships/hyperlink" Target="https://doi.org/10.1016/j.psep.2025.107249" TargetMode="External"/><Relationship Id="rId76" Type="http://schemas.openxmlformats.org/officeDocument/2006/relationships/hyperlink" Target="https://doi.org/10.5194/hess-22-6005-2018" TargetMode="External"/><Relationship Id="rId77" Type="http://schemas.openxmlformats.org/officeDocument/2006/relationships/hyperlink" Target="https://doi.org/10.1029/2018WR022643" TargetMode="External"/><Relationship Id="rId78" Type="http://schemas.openxmlformats.org/officeDocument/2006/relationships/hyperlink" Target="https://doi.org/10.1029/2020WR028091" TargetMode="External"/><Relationship Id="rId79" Type="http://schemas.openxmlformats.org/officeDocument/2006/relationships/hyperlink" Target="https://doi.org/10.3390/w16050777" TargetMode="External"/><Relationship Id="rId80" Type="http://schemas.openxmlformats.org/officeDocument/2006/relationships/hyperlink" Target="https://doi.org/10.1080/02626667.2019.1620507" TargetMode="External"/><Relationship Id="rId81" Type="http://schemas.openxmlformats.org/officeDocument/2006/relationships/hyperlink" Target="https://doi.org/10.1007/s11269-024-03937-2" TargetMode="External"/><Relationship Id="rId82" Type="http://schemas.openxmlformats.org/officeDocument/2006/relationships/hyperlink" Target="https://doi.org/10.1016/j.jhydrol.2020.125376" TargetMode="External"/><Relationship Id="rId83" Type="http://schemas.openxmlformats.org/officeDocument/2006/relationships/hyperlink" Target="https://doi.org/10.1007/s13762-022-04208-6" TargetMode="External"/><Relationship Id="rId84" Type="http://schemas.openxmlformats.org/officeDocument/2006/relationships/hyperlink" Target="https://doi.org/10.1029/2019WR025924" TargetMode="External"/><Relationship Id="rId85" Type="http://schemas.openxmlformats.org/officeDocument/2006/relationships/hyperlink" Target="https://doi.org/10.5194/hess-25-4947-2021" TargetMode="External"/><Relationship Id="rId86" Type="http://schemas.openxmlformats.org/officeDocument/2006/relationships/hyperlink" Target="https://doi.org/10.5194/hess-23-4323-2019" TargetMode="External"/><Relationship Id="rId87" Type="http://schemas.openxmlformats.org/officeDocument/2006/relationships/header" Target="header1.xml"/><Relationship Id="rId88" Type="http://schemas.openxmlformats.org/officeDocument/2006/relationships/header" Target="header2.xml"/><Relationship Id="rId89" Type="http://schemas.openxmlformats.org/officeDocument/2006/relationships/header" Target="header3.xml"/><Relationship Id="rId90" Type="http://schemas.openxmlformats.org/officeDocument/2006/relationships/footer" Target="footer1.xml"/><Relationship Id="rId91" Type="http://schemas.openxmlformats.org/officeDocument/2006/relationships/footer" Target="footer2.xml"/><Relationship Id="rId92" Type="http://schemas.openxmlformats.org/officeDocument/2006/relationships/footer" Target="footer3.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B2B33D2B-8A0A-43A3-8A2D-E58DB6849D2B}" type="doc">
      <dgm:prSet loTypeId="urn:microsoft.com/office/officeart/2005/8/layout/process1" loCatId="process" qsTypeId="urn:microsoft.com/office/officeart/2005/8/quickstyle/simple1" qsCatId="simple" csTypeId="urn:microsoft.com/office/officeart/2005/8/colors/accent1_2" csCatId="accent1" phldr="1"/>
      <dgm:spPr/>
    </dgm:pt>
    <dgm:pt modelId="{156315A8-971D-41BF-BCC5-FF2BAE207770}">
      <dgm:prSet phldrT="[Text]" custT="1"/>
      <dgm:spPr/>
      <dgm:t>
        <a:bodyPr/>
        <a:lstStyle/>
        <a:p>
          <a:r>
            <a:rPr lang="en-US" sz="800">
              <a:latin typeface="Palatino Linotype" panose="02040502050505030304" pitchFamily="18" charset="0"/>
            </a:rPr>
            <a:t>Construction of lagged hydro-meteorological features</a:t>
          </a:r>
          <a:endParaRPr lang="en-GB" sz="800">
            <a:latin typeface="Palatino Linotype" panose="02040502050505030304" pitchFamily="18" charset="0"/>
          </a:endParaRPr>
        </a:p>
      </dgm:t>
    </dgm:pt>
    <dgm:pt modelId="{F23405FA-0B30-4E89-96EE-44B5335BEF59}" type="parTrans" cxnId="{834E6AA0-4176-4316-A3C9-0F8B63C9A442}">
      <dgm:prSet/>
      <dgm:spPr/>
      <dgm:t>
        <a:bodyPr/>
        <a:lstStyle/>
        <a:p>
          <a:endParaRPr lang="en-GB"/>
        </a:p>
      </dgm:t>
    </dgm:pt>
    <dgm:pt modelId="{FDD3FD11-851A-4066-B59C-7ACAAB0FA851}" type="sibTrans" cxnId="{834E6AA0-4176-4316-A3C9-0F8B63C9A442}">
      <dgm:prSet/>
      <dgm:spPr/>
      <dgm:t>
        <a:bodyPr/>
        <a:lstStyle/>
        <a:p>
          <a:endParaRPr lang="en-GB"/>
        </a:p>
      </dgm:t>
    </dgm:pt>
    <dgm:pt modelId="{280B4357-FC17-43E9-AF9F-BF96D07394EE}">
      <dgm:prSet phldrT="[Text]" custT="1"/>
      <dgm:spPr/>
      <dgm:t>
        <a:bodyPr/>
        <a:lstStyle/>
        <a:p>
          <a:r>
            <a:rPr lang="en-US" sz="800">
              <a:latin typeface="Palatino Linotype" panose="02040502050505030304" pitchFamily="18" charset="0"/>
            </a:rPr>
            <a:t>Time-based train–test splitting</a:t>
          </a:r>
          <a:endParaRPr lang="en-GB" sz="800">
            <a:latin typeface="Palatino Linotype" panose="02040502050505030304" pitchFamily="18" charset="0"/>
          </a:endParaRPr>
        </a:p>
      </dgm:t>
    </dgm:pt>
    <dgm:pt modelId="{3C7003E1-C16B-4AF1-8DD2-5B2DD0386A82}" type="parTrans" cxnId="{6C98B251-0061-4975-A234-FF4A085C6E48}">
      <dgm:prSet/>
      <dgm:spPr/>
      <dgm:t>
        <a:bodyPr/>
        <a:lstStyle/>
        <a:p>
          <a:endParaRPr lang="en-GB"/>
        </a:p>
      </dgm:t>
    </dgm:pt>
    <dgm:pt modelId="{4255F2BC-DC55-4CAF-83C8-EB877DFBAA53}" type="sibTrans" cxnId="{6C98B251-0061-4975-A234-FF4A085C6E48}">
      <dgm:prSet/>
      <dgm:spPr/>
      <dgm:t>
        <a:bodyPr/>
        <a:lstStyle/>
        <a:p>
          <a:endParaRPr lang="en-GB"/>
        </a:p>
      </dgm:t>
    </dgm:pt>
    <dgm:pt modelId="{EF895AB9-2A6A-4566-A5C0-D7C52BCD33BC}">
      <dgm:prSet phldrT="[Text]" custT="1"/>
      <dgm:spPr/>
      <dgm:t>
        <a:bodyPr/>
        <a:lstStyle/>
        <a:p>
          <a:r>
            <a:rPr lang="en-US" sz="800">
              <a:latin typeface="Palatino Linotype" panose="02040502050505030304" pitchFamily="18" charset="0"/>
            </a:rPr>
            <a:t>Rolling-origin cross-validation for hyperparameter tuning</a:t>
          </a:r>
          <a:endParaRPr lang="en-GB" sz="800">
            <a:latin typeface="Palatino Linotype" panose="02040502050505030304" pitchFamily="18" charset="0"/>
          </a:endParaRPr>
        </a:p>
      </dgm:t>
    </dgm:pt>
    <dgm:pt modelId="{7EBE8FFC-01DD-466A-9EF7-49F92D8D2526}" type="parTrans" cxnId="{1C69152E-ACC0-431F-9DED-1C958BA06F23}">
      <dgm:prSet/>
      <dgm:spPr/>
      <dgm:t>
        <a:bodyPr/>
        <a:lstStyle/>
        <a:p>
          <a:endParaRPr lang="en-GB"/>
        </a:p>
      </dgm:t>
    </dgm:pt>
    <dgm:pt modelId="{BC9A5558-4E9F-4E94-B093-271771ABB1D9}" type="sibTrans" cxnId="{1C69152E-ACC0-431F-9DED-1C958BA06F23}">
      <dgm:prSet/>
      <dgm:spPr/>
      <dgm:t>
        <a:bodyPr/>
        <a:lstStyle/>
        <a:p>
          <a:endParaRPr lang="en-GB"/>
        </a:p>
      </dgm:t>
    </dgm:pt>
    <dgm:pt modelId="{FFCE2155-E241-4BBC-821F-22BA54F63E16}">
      <dgm:prSet phldrT="[Text]" custT="1"/>
      <dgm:spPr/>
      <dgm:t>
        <a:bodyPr/>
        <a:lstStyle/>
        <a:p>
          <a:r>
            <a:rPr lang="en-US" sz="800">
              <a:latin typeface="Palatino Linotype" panose="02040502050505030304" pitchFamily="18" charset="0"/>
            </a:rPr>
            <a:t>Model selection based on NSE</a:t>
          </a:r>
          <a:endParaRPr lang="en-GB" sz="800">
            <a:latin typeface="Palatino Linotype" panose="02040502050505030304" pitchFamily="18" charset="0"/>
          </a:endParaRPr>
        </a:p>
      </dgm:t>
    </dgm:pt>
    <dgm:pt modelId="{33E96285-98A4-41FB-8E17-C3492E29B0AE}" type="parTrans" cxnId="{92CB4EF9-F1DD-4417-ABE6-9E4F9DD160B4}">
      <dgm:prSet/>
      <dgm:spPr/>
      <dgm:t>
        <a:bodyPr/>
        <a:lstStyle/>
        <a:p>
          <a:endParaRPr lang="en-GB"/>
        </a:p>
      </dgm:t>
    </dgm:pt>
    <dgm:pt modelId="{89E33502-3157-44A2-BC70-A5EAD18AF900}" type="sibTrans" cxnId="{92CB4EF9-F1DD-4417-ABE6-9E4F9DD160B4}">
      <dgm:prSet/>
      <dgm:spPr/>
      <dgm:t>
        <a:bodyPr/>
        <a:lstStyle/>
        <a:p>
          <a:endParaRPr lang="en-GB"/>
        </a:p>
      </dgm:t>
    </dgm:pt>
    <dgm:pt modelId="{BE5137D4-5059-4A28-B141-2988E820521B}">
      <dgm:prSet phldrT="[Text]" custT="1"/>
      <dgm:spPr/>
      <dgm:t>
        <a:bodyPr/>
        <a:lstStyle/>
        <a:p>
          <a:r>
            <a:rPr lang="en-US" sz="800">
              <a:latin typeface="Palatino Linotype" panose="02040502050505030304" pitchFamily="18" charset="0"/>
            </a:rPr>
            <a:t>One-step-ahead streamflow forecasting</a:t>
          </a:r>
          <a:endParaRPr lang="en-GB" sz="800">
            <a:latin typeface="Palatino Linotype" panose="02040502050505030304" pitchFamily="18" charset="0"/>
          </a:endParaRPr>
        </a:p>
      </dgm:t>
    </dgm:pt>
    <dgm:pt modelId="{56B17176-9AC1-44FC-8484-610B3E849D40}" type="parTrans" cxnId="{5A7EF853-ACDD-45AB-AA8C-571584D5C8E5}">
      <dgm:prSet/>
      <dgm:spPr/>
      <dgm:t>
        <a:bodyPr/>
        <a:lstStyle/>
        <a:p>
          <a:endParaRPr lang="en-GB"/>
        </a:p>
      </dgm:t>
    </dgm:pt>
    <dgm:pt modelId="{80B4C9D9-3E44-4E58-9411-54887D7C7DFB}" type="sibTrans" cxnId="{5A7EF853-ACDD-45AB-AA8C-571584D5C8E5}">
      <dgm:prSet/>
      <dgm:spPr/>
      <dgm:t>
        <a:bodyPr/>
        <a:lstStyle/>
        <a:p>
          <a:endParaRPr lang="en-GB"/>
        </a:p>
      </dgm:t>
    </dgm:pt>
    <dgm:pt modelId="{F55CDC64-30F5-4DD4-8E25-5E484AC850FF}">
      <dgm:prSet phldrT="[Text]" custT="1"/>
      <dgm:spPr/>
      <dgm:t>
        <a:bodyPr/>
        <a:lstStyle/>
        <a:p>
          <a:r>
            <a:rPr lang="en-US" sz="800">
              <a:latin typeface="Palatino Linotype" panose="02040502050505030304" pitchFamily="18" charset="0"/>
            </a:rPr>
            <a:t>Linear bias correction</a:t>
          </a:r>
          <a:endParaRPr lang="en-GB" sz="800">
            <a:latin typeface="Palatino Linotype" panose="02040502050505030304" pitchFamily="18" charset="0"/>
          </a:endParaRPr>
        </a:p>
      </dgm:t>
    </dgm:pt>
    <dgm:pt modelId="{61C107EB-D59E-4E4A-8CE2-FBE18966AC4A}" type="parTrans" cxnId="{0BFE1644-C6EF-4A02-91AF-26AD6F0817B7}">
      <dgm:prSet/>
      <dgm:spPr/>
      <dgm:t>
        <a:bodyPr/>
        <a:lstStyle/>
        <a:p>
          <a:endParaRPr lang="en-GB"/>
        </a:p>
      </dgm:t>
    </dgm:pt>
    <dgm:pt modelId="{ACE36EBE-4C15-45F2-9B20-59E427700B33}" type="sibTrans" cxnId="{0BFE1644-C6EF-4A02-91AF-26AD6F0817B7}">
      <dgm:prSet/>
      <dgm:spPr/>
      <dgm:t>
        <a:bodyPr/>
        <a:lstStyle/>
        <a:p>
          <a:endParaRPr lang="en-GB"/>
        </a:p>
      </dgm:t>
    </dgm:pt>
    <dgm:pt modelId="{5A98A526-7CAC-4FA0-9911-5ED5DBD6809B}">
      <dgm:prSet phldrT="[Text]" custT="1"/>
      <dgm:spPr/>
      <dgm:t>
        <a:bodyPr/>
        <a:lstStyle/>
        <a:p>
          <a:r>
            <a:rPr lang="en-US" sz="800">
              <a:latin typeface="Palatino Linotype" panose="02040502050505030304" pitchFamily="18" charset="0"/>
            </a:rPr>
            <a:t>Performance evaluation using NSE, KGE, RMSE, and MAE</a:t>
          </a:r>
          <a:endParaRPr lang="en-GB" sz="800">
            <a:latin typeface="Palatino Linotype" panose="02040502050505030304" pitchFamily="18" charset="0"/>
          </a:endParaRPr>
        </a:p>
      </dgm:t>
    </dgm:pt>
    <dgm:pt modelId="{7FE56A06-13AB-4D04-9EAD-3D779E4DD5AD}" type="parTrans" cxnId="{FD653D5B-7043-433F-A87B-80680233C5A0}">
      <dgm:prSet/>
      <dgm:spPr/>
      <dgm:t>
        <a:bodyPr/>
        <a:lstStyle/>
        <a:p>
          <a:endParaRPr lang="en-GB"/>
        </a:p>
      </dgm:t>
    </dgm:pt>
    <dgm:pt modelId="{447E4649-BCDC-4FAB-8BC0-B5620F16EA05}" type="sibTrans" cxnId="{FD653D5B-7043-433F-A87B-80680233C5A0}">
      <dgm:prSet/>
      <dgm:spPr/>
      <dgm:t>
        <a:bodyPr/>
        <a:lstStyle/>
        <a:p>
          <a:endParaRPr lang="en-GB"/>
        </a:p>
      </dgm:t>
    </dgm:pt>
    <dgm:pt modelId="{38A46D11-13BC-497D-865F-9DC5081A6E41}" type="pres">
      <dgm:prSet presAssocID="{B2B33D2B-8A0A-43A3-8A2D-E58DB6849D2B}" presName="Name0" presStyleCnt="0">
        <dgm:presLayoutVars>
          <dgm:dir/>
          <dgm:resizeHandles val="exact"/>
        </dgm:presLayoutVars>
      </dgm:prSet>
      <dgm:spPr/>
    </dgm:pt>
    <dgm:pt modelId="{8764C840-7446-4478-8B5B-2A8722563C49}" type="pres">
      <dgm:prSet presAssocID="{156315A8-971D-41BF-BCC5-FF2BAE207770}" presName="node" presStyleLbl="node1" presStyleIdx="0" presStyleCnt="7" custAng="16200000" custScaleX="345393">
        <dgm:presLayoutVars>
          <dgm:bulletEnabled val="1"/>
        </dgm:presLayoutVars>
      </dgm:prSet>
      <dgm:spPr/>
    </dgm:pt>
    <dgm:pt modelId="{6D6FFF4B-B586-4F8F-8F03-E9922F7D260B}" type="pres">
      <dgm:prSet presAssocID="{FDD3FD11-851A-4066-B59C-7ACAAB0FA851}" presName="sibTrans" presStyleLbl="sibTrans2D1" presStyleIdx="0" presStyleCnt="6" custScaleX="283801" custScaleY="424558" custLinFactNeighborX="12303" custLinFactNeighborY="3426"/>
      <dgm:spPr/>
    </dgm:pt>
    <dgm:pt modelId="{85FC4D1B-51C6-4969-81BF-3A544D231D76}" type="pres">
      <dgm:prSet presAssocID="{FDD3FD11-851A-4066-B59C-7ACAAB0FA851}" presName="connectorText" presStyleLbl="sibTrans2D1" presStyleIdx="0" presStyleCnt="6"/>
      <dgm:spPr/>
    </dgm:pt>
    <dgm:pt modelId="{E1531E5D-9C2F-4D39-957D-372197942AE7}" type="pres">
      <dgm:prSet presAssocID="{280B4357-FC17-43E9-AF9F-BF96D07394EE}" presName="node" presStyleLbl="node1" presStyleIdx="1" presStyleCnt="7" custAng="16200000" custScaleX="345393">
        <dgm:presLayoutVars>
          <dgm:bulletEnabled val="1"/>
        </dgm:presLayoutVars>
      </dgm:prSet>
      <dgm:spPr/>
    </dgm:pt>
    <dgm:pt modelId="{2AF97344-B43E-4DD0-8E2B-D10187157A69}" type="pres">
      <dgm:prSet presAssocID="{4255F2BC-DC55-4CAF-83C8-EB877DFBAA53}" presName="sibTrans" presStyleLbl="sibTrans2D1" presStyleIdx="1" presStyleCnt="6" custScaleX="283801" custScaleY="424558"/>
      <dgm:spPr/>
    </dgm:pt>
    <dgm:pt modelId="{368AEEB2-AAC4-4B69-AE85-93C39CC9F67A}" type="pres">
      <dgm:prSet presAssocID="{4255F2BC-DC55-4CAF-83C8-EB877DFBAA53}" presName="connectorText" presStyleLbl="sibTrans2D1" presStyleIdx="1" presStyleCnt="6"/>
      <dgm:spPr/>
    </dgm:pt>
    <dgm:pt modelId="{08527378-A2B9-494E-8746-326D6F6EE757}" type="pres">
      <dgm:prSet presAssocID="{EF895AB9-2A6A-4566-A5C0-D7C52BCD33BC}" presName="node" presStyleLbl="node1" presStyleIdx="2" presStyleCnt="7" custAng="16200000" custScaleX="345393">
        <dgm:presLayoutVars>
          <dgm:bulletEnabled val="1"/>
        </dgm:presLayoutVars>
      </dgm:prSet>
      <dgm:spPr/>
    </dgm:pt>
    <dgm:pt modelId="{D8A8A177-3A34-4464-8B1D-966940029596}" type="pres">
      <dgm:prSet presAssocID="{BC9A5558-4E9F-4E94-B093-271771ABB1D9}" presName="sibTrans" presStyleLbl="sibTrans2D1" presStyleIdx="2" presStyleCnt="6" custScaleX="283801" custScaleY="424558"/>
      <dgm:spPr/>
    </dgm:pt>
    <dgm:pt modelId="{ACB54F5E-FC79-4175-90C3-1FCF3639E343}" type="pres">
      <dgm:prSet presAssocID="{BC9A5558-4E9F-4E94-B093-271771ABB1D9}" presName="connectorText" presStyleLbl="sibTrans2D1" presStyleIdx="2" presStyleCnt="6"/>
      <dgm:spPr/>
    </dgm:pt>
    <dgm:pt modelId="{D1AA9F97-0779-4CF6-AE4A-D14B795F49FB}" type="pres">
      <dgm:prSet presAssocID="{FFCE2155-E241-4BBC-821F-22BA54F63E16}" presName="node" presStyleLbl="node1" presStyleIdx="3" presStyleCnt="7" custAng="16200000" custScaleX="345393">
        <dgm:presLayoutVars>
          <dgm:bulletEnabled val="1"/>
        </dgm:presLayoutVars>
      </dgm:prSet>
      <dgm:spPr/>
    </dgm:pt>
    <dgm:pt modelId="{FDD45D0A-B37F-4351-974F-744FFA7EECF9}" type="pres">
      <dgm:prSet presAssocID="{89E33502-3157-44A2-BC70-A5EAD18AF900}" presName="sibTrans" presStyleLbl="sibTrans2D1" presStyleIdx="3" presStyleCnt="6" custScaleX="283801" custScaleY="424558"/>
      <dgm:spPr/>
    </dgm:pt>
    <dgm:pt modelId="{B78FC4E6-EEA7-47DB-8BBB-9F89BDAEAA72}" type="pres">
      <dgm:prSet presAssocID="{89E33502-3157-44A2-BC70-A5EAD18AF900}" presName="connectorText" presStyleLbl="sibTrans2D1" presStyleIdx="3" presStyleCnt="6"/>
      <dgm:spPr/>
    </dgm:pt>
    <dgm:pt modelId="{83126592-2208-42EF-A3F9-54992A6EAFEB}" type="pres">
      <dgm:prSet presAssocID="{BE5137D4-5059-4A28-B141-2988E820521B}" presName="node" presStyleLbl="node1" presStyleIdx="4" presStyleCnt="7" custAng="16200000" custScaleX="345394">
        <dgm:presLayoutVars>
          <dgm:bulletEnabled val="1"/>
        </dgm:presLayoutVars>
      </dgm:prSet>
      <dgm:spPr/>
    </dgm:pt>
    <dgm:pt modelId="{BFAADB6A-3AF8-488F-B045-5DAEEED730DB}" type="pres">
      <dgm:prSet presAssocID="{80B4C9D9-3E44-4E58-9411-54887D7C7DFB}" presName="sibTrans" presStyleLbl="sibTrans2D1" presStyleIdx="4" presStyleCnt="6" custScaleX="283801" custScaleY="424558"/>
      <dgm:spPr/>
    </dgm:pt>
    <dgm:pt modelId="{B7CF4899-DEEA-42F9-951D-983303790B67}" type="pres">
      <dgm:prSet presAssocID="{80B4C9D9-3E44-4E58-9411-54887D7C7DFB}" presName="connectorText" presStyleLbl="sibTrans2D1" presStyleIdx="4" presStyleCnt="6"/>
      <dgm:spPr/>
    </dgm:pt>
    <dgm:pt modelId="{669F7A35-3CC1-4DBE-A782-B3FD220E33F3}" type="pres">
      <dgm:prSet presAssocID="{F55CDC64-30F5-4DD4-8E25-5E484AC850FF}" presName="node" presStyleLbl="node1" presStyleIdx="5" presStyleCnt="7" custAng="16200000" custScaleX="345393">
        <dgm:presLayoutVars>
          <dgm:bulletEnabled val="1"/>
        </dgm:presLayoutVars>
      </dgm:prSet>
      <dgm:spPr/>
    </dgm:pt>
    <dgm:pt modelId="{868637B5-DB4A-4580-B970-20F269B0CF63}" type="pres">
      <dgm:prSet presAssocID="{ACE36EBE-4C15-45F2-9B20-59E427700B33}" presName="sibTrans" presStyleLbl="sibTrans2D1" presStyleIdx="5" presStyleCnt="6" custScaleX="283801" custScaleY="424558"/>
      <dgm:spPr/>
    </dgm:pt>
    <dgm:pt modelId="{F09A20BB-D738-4E95-898A-8930CBA60C68}" type="pres">
      <dgm:prSet presAssocID="{ACE36EBE-4C15-45F2-9B20-59E427700B33}" presName="connectorText" presStyleLbl="sibTrans2D1" presStyleIdx="5" presStyleCnt="6"/>
      <dgm:spPr/>
    </dgm:pt>
    <dgm:pt modelId="{EE586D25-02C1-4DA2-98AD-FFF27FB665DC}" type="pres">
      <dgm:prSet presAssocID="{5A98A526-7CAC-4FA0-9911-5ED5DBD6809B}" presName="node" presStyleLbl="node1" presStyleIdx="6" presStyleCnt="7" custAng="16200000" custScaleX="345393">
        <dgm:presLayoutVars>
          <dgm:bulletEnabled val="1"/>
        </dgm:presLayoutVars>
      </dgm:prSet>
      <dgm:spPr/>
    </dgm:pt>
  </dgm:ptLst>
  <dgm:cxnLst>
    <dgm:cxn modelId="{2B744407-F097-42B6-9B5C-C6132160258E}" type="presOf" srcId="{80B4C9D9-3E44-4E58-9411-54887D7C7DFB}" destId="{B7CF4899-DEEA-42F9-951D-983303790B67}" srcOrd="1" destOrd="0" presId="urn:microsoft.com/office/officeart/2005/8/layout/process1"/>
    <dgm:cxn modelId="{CBBBF009-0FBE-4F38-80F6-659E8314AE57}" type="presOf" srcId="{5A98A526-7CAC-4FA0-9911-5ED5DBD6809B}" destId="{EE586D25-02C1-4DA2-98AD-FFF27FB665DC}" srcOrd="0" destOrd="0" presId="urn:microsoft.com/office/officeart/2005/8/layout/process1"/>
    <dgm:cxn modelId="{D8CB260A-39E4-4310-9E09-A41DFDF78FF4}" type="presOf" srcId="{FDD3FD11-851A-4066-B59C-7ACAAB0FA851}" destId="{85FC4D1B-51C6-4969-81BF-3A544D231D76}" srcOrd="1" destOrd="0" presId="urn:microsoft.com/office/officeart/2005/8/layout/process1"/>
    <dgm:cxn modelId="{8E453C12-813A-4918-ADEF-4FA23D2B2F54}" type="presOf" srcId="{156315A8-971D-41BF-BCC5-FF2BAE207770}" destId="{8764C840-7446-4478-8B5B-2A8722563C49}" srcOrd="0" destOrd="0" presId="urn:microsoft.com/office/officeart/2005/8/layout/process1"/>
    <dgm:cxn modelId="{1C69152E-ACC0-431F-9DED-1C958BA06F23}" srcId="{B2B33D2B-8A0A-43A3-8A2D-E58DB6849D2B}" destId="{EF895AB9-2A6A-4566-A5C0-D7C52BCD33BC}" srcOrd="2" destOrd="0" parTransId="{7EBE8FFC-01DD-466A-9EF7-49F92D8D2526}" sibTransId="{BC9A5558-4E9F-4E94-B093-271771ABB1D9}"/>
    <dgm:cxn modelId="{0BFE1644-C6EF-4A02-91AF-26AD6F0817B7}" srcId="{B2B33D2B-8A0A-43A3-8A2D-E58DB6849D2B}" destId="{F55CDC64-30F5-4DD4-8E25-5E484AC850FF}" srcOrd="5" destOrd="0" parTransId="{61C107EB-D59E-4E4A-8CE2-FBE18966AC4A}" sibTransId="{ACE36EBE-4C15-45F2-9B20-59E427700B33}"/>
    <dgm:cxn modelId="{6C98B251-0061-4975-A234-FF4A085C6E48}" srcId="{B2B33D2B-8A0A-43A3-8A2D-E58DB6849D2B}" destId="{280B4357-FC17-43E9-AF9F-BF96D07394EE}" srcOrd="1" destOrd="0" parTransId="{3C7003E1-C16B-4AF1-8DD2-5B2DD0386A82}" sibTransId="{4255F2BC-DC55-4CAF-83C8-EB877DFBAA53}"/>
    <dgm:cxn modelId="{5A7EF853-ACDD-45AB-AA8C-571584D5C8E5}" srcId="{B2B33D2B-8A0A-43A3-8A2D-E58DB6849D2B}" destId="{BE5137D4-5059-4A28-B141-2988E820521B}" srcOrd="4" destOrd="0" parTransId="{56B17176-9AC1-44FC-8484-610B3E849D40}" sibTransId="{80B4C9D9-3E44-4E58-9411-54887D7C7DFB}"/>
    <dgm:cxn modelId="{0AEB6D54-F661-40A2-8A0B-504870F17FB6}" type="presOf" srcId="{B2B33D2B-8A0A-43A3-8A2D-E58DB6849D2B}" destId="{38A46D11-13BC-497D-865F-9DC5081A6E41}" srcOrd="0" destOrd="0" presId="urn:microsoft.com/office/officeart/2005/8/layout/process1"/>
    <dgm:cxn modelId="{FD653D5B-7043-433F-A87B-80680233C5A0}" srcId="{B2B33D2B-8A0A-43A3-8A2D-E58DB6849D2B}" destId="{5A98A526-7CAC-4FA0-9911-5ED5DBD6809B}" srcOrd="6" destOrd="0" parTransId="{7FE56A06-13AB-4D04-9EAD-3D779E4DD5AD}" sibTransId="{447E4649-BCDC-4FAB-8BC0-B5620F16EA05}"/>
    <dgm:cxn modelId="{BB1A075C-3CE8-4E03-A8D3-934D45A00A0C}" type="presOf" srcId="{80B4C9D9-3E44-4E58-9411-54887D7C7DFB}" destId="{BFAADB6A-3AF8-488F-B045-5DAEEED730DB}" srcOrd="0" destOrd="0" presId="urn:microsoft.com/office/officeart/2005/8/layout/process1"/>
    <dgm:cxn modelId="{1C734374-BE02-42BC-86E7-F11DB4161BB6}" type="presOf" srcId="{FDD3FD11-851A-4066-B59C-7ACAAB0FA851}" destId="{6D6FFF4B-B586-4F8F-8F03-E9922F7D260B}" srcOrd="0" destOrd="0" presId="urn:microsoft.com/office/officeart/2005/8/layout/process1"/>
    <dgm:cxn modelId="{DC09AB76-F3E2-45E8-9949-CEE7B4E4DE4C}" type="presOf" srcId="{BC9A5558-4E9F-4E94-B093-271771ABB1D9}" destId="{D8A8A177-3A34-4464-8B1D-966940029596}" srcOrd="0" destOrd="0" presId="urn:microsoft.com/office/officeart/2005/8/layout/process1"/>
    <dgm:cxn modelId="{7971FD78-6B60-4E6B-B8FF-96304511CCE7}" type="presOf" srcId="{ACE36EBE-4C15-45F2-9B20-59E427700B33}" destId="{F09A20BB-D738-4E95-898A-8930CBA60C68}" srcOrd="1" destOrd="0" presId="urn:microsoft.com/office/officeart/2005/8/layout/process1"/>
    <dgm:cxn modelId="{8C44137A-8B7A-4E9F-B2C5-3C4525550CD4}" type="presOf" srcId="{ACE36EBE-4C15-45F2-9B20-59E427700B33}" destId="{868637B5-DB4A-4580-B970-20F269B0CF63}" srcOrd="0" destOrd="0" presId="urn:microsoft.com/office/officeart/2005/8/layout/process1"/>
    <dgm:cxn modelId="{A92A0E7F-C5D2-47F7-BBD1-CBDF6E0DDBAA}" type="presOf" srcId="{89E33502-3157-44A2-BC70-A5EAD18AF900}" destId="{B78FC4E6-EEA7-47DB-8BBB-9F89BDAEAA72}" srcOrd="1" destOrd="0" presId="urn:microsoft.com/office/officeart/2005/8/layout/process1"/>
    <dgm:cxn modelId="{EECD1C90-66BE-4356-B57A-963E92FAC8FF}" type="presOf" srcId="{BC9A5558-4E9F-4E94-B093-271771ABB1D9}" destId="{ACB54F5E-FC79-4175-90C3-1FCF3639E343}" srcOrd="1" destOrd="0" presId="urn:microsoft.com/office/officeart/2005/8/layout/process1"/>
    <dgm:cxn modelId="{AF354D93-72E9-4E63-AD52-D495C43C79A9}" type="presOf" srcId="{FFCE2155-E241-4BBC-821F-22BA54F63E16}" destId="{D1AA9F97-0779-4CF6-AE4A-D14B795F49FB}" srcOrd="0" destOrd="0" presId="urn:microsoft.com/office/officeart/2005/8/layout/process1"/>
    <dgm:cxn modelId="{003AFE95-418B-4700-8C5A-235493A4D45D}" type="presOf" srcId="{4255F2BC-DC55-4CAF-83C8-EB877DFBAA53}" destId="{2AF97344-B43E-4DD0-8E2B-D10187157A69}" srcOrd="0" destOrd="0" presId="urn:microsoft.com/office/officeart/2005/8/layout/process1"/>
    <dgm:cxn modelId="{7788AC98-7637-4029-9A5B-B788E57FFD78}" type="presOf" srcId="{4255F2BC-DC55-4CAF-83C8-EB877DFBAA53}" destId="{368AEEB2-AAC4-4B69-AE85-93C39CC9F67A}" srcOrd="1" destOrd="0" presId="urn:microsoft.com/office/officeart/2005/8/layout/process1"/>
    <dgm:cxn modelId="{834E6AA0-4176-4316-A3C9-0F8B63C9A442}" srcId="{B2B33D2B-8A0A-43A3-8A2D-E58DB6849D2B}" destId="{156315A8-971D-41BF-BCC5-FF2BAE207770}" srcOrd="0" destOrd="0" parTransId="{F23405FA-0B30-4E89-96EE-44B5335BEF59}" sibTransId="{FDD3FD11-851A-4066-B59C-7ACAAB0FA851}"/>
    <dgm:cxn modelId="{55448AA2-4AE1-4CC5-A66E-009AD551D23E}" type="presOf" srcId="{F55CDC64-30F5-4DD4-8E25-5E484AC850FF}" destId="{669F7A35-3CC1-4DBE-A782-B3FD220E33F3}" srcOrd="0" destOrd="0" presId="urn:microsoft.com/office/officeart/2005/8/layout/process1"/>
    <dgm:cxn modelId="{C6D82FC6-F3CD-4A62-8A02-E4F9000F426C}" type="presOf" srcId="{EF895AB9-2A6A-4566-A5C0-D7C52BCD33BC}" destId="{08527378-A2B9-494E-8746-326D6F6EE757}" srcOrd="0" destOrd="0" presId="urn:microsoft.com/office/officeart/2005/8/layout/process1"/>
    <dgm:cxn modelId="{FC1449DE-E4FD-429D-A24D-7BA55AFE69EE}" type="presOf" srcId="{BE5137D4-5059-4A28-B141-2988E820521B}" destId="{83126592-2208-42EF-A3F9-54992A6EAFEB}" srcOrd="0" destOrd="0" presId="urn:microsoft.com/office/officeart/2005/8/layout/process1"/>
    <dgm:cxn modelId="{92CB4EF9-F1DD-4417-ABE6-9E4F9DD160B4}" srcId="{B2B33D2B-8A0A-43A3-8A2D-E58DB6849D2B}" destId="{FFCE2155-E241-4BBC-821F-22BA54F63E16}" srcOrd="3" destOrd="0" parTransId="{33E96285-98A4-41FB-8E17-C3492E29B0AE}" sibTransId="{89E33502-3157-44A2-BC70-A5EAD18AF900}"/>
    <dgm:cxn modelId="{282FCAFB-1A68-4644-8D5B-743ED9D3B1B2}" type="presOf" srcId="{280B4357-FC17-43E9-AF9F-BF96D07394EE}" destId="{E1531E5D-9C2F-4D39-957D-372197942AE7}" srcOrd="0" destOrd="0" presId="urn:microsoft.com/office/officeart/2005/8/layout/process1"/>
    <dgm:cxn modelId="{06CDB4FD-749E-4735-9C39-E96523C3F368}" type="presOf" srcId="{89E33502-3157-44A2-BC70-A5EAD18AF900}" destId="{FDD45D0A-B37F-4351-974F-744FFA7EECF9}" srcOrd="0" destOrd="0" presId="urn:microsoft.com/office/officeart/2005/8/layout/process1"/>
    <dgm:cxn modelId="{B8130210-8F97-4B15-9011-2A11D42C3E5E}" type="presParOf" srcId="{38A46D11-13BC-497D-865F-9DC5081A6E41}" destId="{8764C840-7446-4478-8B5B-2A8722563C49}" srcOrd="0" destOrd="0" presId="urn:microsoft.com/office/officeart/2005/8/layout/process1"/>
    <dgm:cxn modelId="{7F0B2922-F89F-4529-89F3-42B6440D1C1C}" type="presParOf" srcId="{38A46D11-13BC-497D-865F-9DC5081A6E41}" destId="{6D6FFF4B-B586-4F8F-8F03-E9922F7D260B}" srcOrd="1" destOrd="0" presId="urn:microsoft.com/office/officeart/2005/8/layout/process1"/>
    <dgm:cxn modelId="{ABB2D0B9-3A8E-4CAB-8CE9-4F8F41EB2D10}" type="presParOf" srcId="{6D6FFF4B-B586-4F8F-8F03-E9922F7D260B}" destId="{85FC4D1B-51C6-4969-81BF-3A544D231D76}" srcOrd="0" destOrd="0" presId="urn:microsoft.com/office/officeart/2005/8/layout/process1"/>
    <dgm:cxn modelId="{0A2FFCEE-B6BB-41ED-B9B9-654B528B9C81}" type="presParOf" srcId="{38A46D11-13BC-497D-865F-9DC5081A6E41}" destId="{E1531E5D-9C2F-4D39-957D-372197942AE7}" srcOrd="2" destOrd="0" presId="urn:microsoft.com/office/officeart/2005/8/layout/process1"/>
    <dgm:cxn modelId="{86D72BA4-7A3A-4DF1-A61F-B4D48C6E8DAB}" type="presParOf" srcId="{38A46D11-13BC-497D-865F-9DC5081A6E41}" destId="{2AF97344-B43E-4DD0-8E2B-D10187157A69}" srcOrd="3" destOrd="0" presId="urn:microsoft.com/office/officeart/2005/8/layout/process1"/>
    <dgm:cxn modelId="{4678AD9D-F97B-4F56-B8C4-A5EC829348FD}" type="presParOf" srcId="{2AF97344-B43E-4DD0-8E2B-D10187157A69}" destId="{368AEEB2-AAC4-4B69-AE85-93C39CC9F67A}" srcOrd="0" destOrd="0" presId="urn:microsoft.com/office/officeart/2005/8/layout/process1"/>
    <dgm:cxn modelId="{3FC7C4CF-5293-4267-AC79-E88E5501E33C}" type="presParOf" srcId="{38A46D11-13BC-497D-865F-9DC5081A6E41}" destId="{08527378-A2B9-494E-8746-326D6F6EE757}" srcOrd="4" destOrd="0" presId="urn:microsoft.com/office/officeart/2005/8/layout/process1"/>
    <dgm:cxn modelId="{1B8127B0-BCEF-4800-8880-F5FB486C2CFC}" type="presParOf" srcId="{38A46D11-13BC-497D-865F-9DC5081A6E41}" destId="{D8A8A177-3A34-4464-8B1D-966940029596}" srcOrd="5" destOrd="0" presId="urn:microsoft.com/office/officeart/2005/8/layout/process1"/>
    <dgm:cxn modelId="{A43A65B5-4860-4E51-B8A7-784A35E6EB76}" type="presParOf" srcId="{D8A8A177-3A34-4464-8B1D-966940029596}" destId="{ACB54F5E-FC79-4175-90C3-1FCF3639E343}" srcOrd="0" destOrd="0" presId="urn:microsoft.com/office/officeart/2005/8/layout/process1"/>
    <dgm:cxn modelId="{689BB753-3189-466B-A14D-B529A2A23677}" type="presParOf" srcId="{38A46D11-13BC-497D-865F-9DC5081A6E41}" destId="{D1AA9F97-0779-4CF6-AE4A-D14B795F49FB}" srcOrd="6" destOrd="0" presId="urn:microsoft.com/office/officeart/2005/8/layout/process1"/>
    <dgm:cxn modelId="{34A8AB7B-19BA-4C15-ACC7-915C60194E87}" type="presParOf" srcId="{38A46D11-13BC-497D-865F-9DC5081A6E41}" destId="{FDD45D0A-B37F-4351-974F-744FFA7EECF9}" srcOrd="7" destOrd="0" presId="urn:microsoft.com/office/officeart/2005/8/layout/process1"/>
    <dgm:cxn modelId="{ACB198B6-6AED-4E56-AA55-AD4715D41813}" type="presParOf" srcId="{FDD45D0A-B37F-4351-974F-744FFA7EECF9}" destId="{B78FC4E6-EEA7-47DB-8BBB-9F89BDAEAA72}" srcOrd="0" destOrd="0" presId="urn:microsoft.com/office/officeart/2005/8/layout/process1"/>
    <dgm:cxn modelId="{6C129140-64BF-4B4B-9333-F68D6A1B8A0C}" type="presParOf" srcId="{38A46D11-13BC-497D-865F-9DC5081A6E41}" destId="{83126592-2208-42EF-A3F9-54992A6EAFEB}" srcOrd="8" destOrd="0" presId="urn:microsoft.com/office/officeart/2005/8/layout/process1"/>
    <dgm:cxn modelId="{9FA91B3E-DF4D-4DD1-995C-20437BD62F55}" type="presParOf" srcId="{38A46D11-13BC-497D-865F-9DC5081A6E41}" destId="{BFAADB6A-3AF8-488F-B045-5DAEEED730DB}" srcOrd="9" destOrd="0" presId="urn:microsoft.com/office/officeart/2005/8/layout/process1"/>
    <dgm:cxn modelId="{C7D4E8D2-8111-4AA3-A9C4-581D8B75F71F}" type="presParOf" srcId="{BFAADB6A-3AF8-488F-B045-5DAEEED730DB}" destId="{B7CF4899-DEEA-42F9-951D-983303790B67}" srcOrd="0" destOrd="0" presId="urn:microsoft.com/office/officeart/2005/8/layout/process1"/>
    <dgm:cxn modelId="{E2415BF1-8EB4-4E5A-A733-1133D4519687}" type="presParOf" srcId="{38A46D11-13BC-497D-865F-9DC5081A6E41}" destId="{669F7A35-3CC1-4DBE-A782-B3FD220E33F3}" srcOrd="10" destOrd="0" presId="urn:microsoft.com/office/officeart/2005/8/layout/process1"/>
    <dgm:cxn modelId="{2769D083-A542-4205-A54B-E742C40498B8}" type="presParOf" srcId="{38A46D11-13BC-497D-865F-9DC5081A6E41}" destId="{868637B5-DB4A-4580-B970-20F269B0CF63}" srcOrd="11" destOrd="0" presId="urn:microsoft.com/office/officeart/2005/8/layout/process1"/>
    <dgm:cxn modelId="{AE481D65-34AE-4865-A6B5-7661C4E5D5BD}" type="presParOf" srcId="{868637B5-DB4A-4580-B970-20F269B0CF63}" destId="{F09A20BB-D738-4E95-898A-8930CBA60C68}" srcOrd="0" destOrd="0" presId="urn:microsoft.com/office/officeart/2005/8/layout/process1"/>
    <dgm:cxn modelId="{BE3E17AC-DA31-431D-A3FF-E39669A1D17E}" type="presParOf" srcId="{38A46D11-13BC-497D-865F-9DC5081A6E41}" destId="{EE586D25-02C1-4DA2-98AD-FFF27FB665DC}" srcOrd="12"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64C840-7446-4478-8B5B-2A8722563C49}">
      <dsp:nvSpPr>
        <dsp:cNvPr id="0" name=""/>
        <dsp:cNvSpPr/>
      </dsp:nvSpPr>
      <dsp:spPr>
        <a:xfrm rot="16200000">
          <a:off x="5490"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Construction of lagged hydro-meteorological features</a:t>
          </a:r>
          <a:endParaRPr lang="en-GB" sz="800" kern="1200">
            <a:latin typeface="Palatino Linotype" panose="02040502050505030304" pitchFamily="18" charset="0"/>
          </a:endParaRPr>
        </a:p>
      </dsp:txBody>
      <dsp:txXfrm>
        <a:off x="26732" y="54612"/>
        <a:ext cx="784173" cy="682774"/>
      </dsp:txXfrm>
    </dsp:sp>
    <dsp:sp modelId="{6D6FFF4B-B586-4F8F-8F03-E9922F7D260B}">
      <dsp:nvSpPr>
        <dsp:cNvPr id="0" name=""/>
        <dsp:cNvSpPr/>
      </dsp:nvSpPr>
      <dsp:spPr>
        <a:xfrm>
          <a:off x="815694" y="272033"/>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815694" y="322433"/>
        <a:ext cx="100799" cy="151200"/>
      </dsp:txXfrm>
    </dsp:sp>
    <dsp:sp modelId="{E1531E5D-9C2F-4D39-957D-372197942AE7}">
      <dsp:nvSpPr>
        <dsp:cNvPr id="0" name=""/>
        <dsp:cNvSpPr/>
      </dsp:nvSpPr>
      <dsp:spPr>
        <a:xfrm rot="16200000">
          <a:off x="927883"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Time-based train–test splitting</a:t>
          </a:r>
          <a:endParaRPr lang="en-GB" sz="800" kern="1200">
            <a:latin typeface="Palatino Linotype" panose="02040502050505030304" pitchFamily="18" charset="0"/>
          </a:endParaRPr>
        </a:p>
      </dsp:txBody>
      <dsp:txXfrm>
        <a:off x="949125" y="54612"/>
        <a:ext cx="784173" cy="682774"/>
      </dsp:txXfrm>
    </dsp:sp>
    <dsp:sp modelId="{2AF97344-B43E-4DD0-8E2B-D10187157A69}">
      <dsp:nvSpPr>
        <dsp:cNvPr id="0" name=""/>
        <dsp:cNvSpPr/>
      </dsp:nvSpPr>
      <dsp:spPr>
        <a:xfrm>
          <a:off x="1731845"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31845" y="320399"/>
        <a:ext cx="100799" cy="151200"/>
      </dsp:txXfrm>
    </dsp:sp>
    <dsp:sp modelId="{08527378-A2B9-494E-8746-326D6F6EE757}">
      <dsp:nvSpPr>
        <dsp:cNvPr id="0" name=""/>
        <dsp:cNvSpPr/>
      </dsp:nvSpPr>
      <dsp:spPr>
        <a:xfrm rot="16200000">
          <a:off x="1850276"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Rolling-origin cross-validation for hyperparameter tuning</a:t>
          </a:r>
          <a:endParaRPr lang="en-GB" sz="800" kern="1200">
            <a:latin typeface="Palatino Linotype" panose="02040502050505030304" pitchFamily="18" charset="0"/>
          </a:endParaRPr>
        </a:p>
      </dsp:txBody>
      <dsp:txXfrm>
        <a:off x="1871518" y="54612"/>
        <a:ext cx="784173" cy="682774"/>
      </dsp:txXfrm>
    </dsp:sp>
    <dsp:sp modelId="{D8A8A177-3A34-4464-8B1D-966940029596}">
      <dsp:nvSpPr>
        <dsp:cNvPr id="0" name=""/>
        <dsp:cNvSpPr/>
      </dsp:nvSpPr>
      <dsp:spPr>
        <a:xfrm>
          <a:off x="2654238"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654238" y="320399"/>
        <a:ext cx="100799" cy="151200"/>
      </dsp:txXfrm>
    </dsp:sp>
    <dsp:sp modelId="{D1AA9F97-0779-4CF6-AE4A-D14B795F49FB}">
      <dsp:nvSpPr>
        <dsp:cNvPr id="0" name=""/>
        <dsp:cNvSpPr/>
      </dsp:nvSpPr>
      <dsp:spPr>
        <a:xfrm rot="16200000">
          <a:off x="2772669"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Model selection based on NSE</a:t>
          </a:r>
          <a:endParaRPr lang="en-GB" sz="800" kern="1200">
            <a:latin typeface="Palatino Linotype" panose="02040502050505030304" pitchFamily="18" charset="0"/>
          </a:endParaRPr>
        </a:p>
      </dsp:txBody>
      <dsp:txXfrm>
        <a:off x="2793911" y="54612"/>
        <a:ext cx="784173" cy="682774"/>
      </dsp:txXfrm>
    </dsp:sp>
    <dsp:sp modelId="{FDD45D0A-B37F-4351-974F-744FFA7EECF9}">
      <dsp:nvSpPr>
        <dsp:cNvPr id="0" name=""/>
        <dsp:cNvSpPr/>
      </dsp:nvSpPr>
      <dsp:spPr>
        <a:xfrm>
          <a:off x="3576631"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576631" y="320399"/>
        <a:ext cx="100799" cy="151200"/>
      </dsp:txXfrm>
    </dsp:sp>
    <dsp:sp modelId="{83126592-2208-42EF-A3F9-54992A6EAFEB}">
      <dsp:nvSpPr>
        <dsp:cNvPr id="0" name=""/>
        <dsp:cNvSpPr/>
      </dsp:nvSpPr>
      <dsp:spPr>
        <a:xfrm rot="16200000">
          <a:off x="3695063" y="33370"/>
          <a:ext cx="826660"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One-step-ahead streamflow forecasting</a:t>
          </a:r>
          <a:endParaRPr lang="en-GB" sz="800" kern="1200">
            <a:latin typeface="Palatino Linotype" panose="02040502050505030304" pitchFamily="18" charset="0"/>
          </a:endParaRPr>
        </a:p>
      </dsp:txBody>
      <dsp:txXfrm>
        <a:off x="3716305" y="54612"/>
        <a:ext cx="784176" cy="682774"/>
      </dsp:txXfrm>
    </dsp:sp>
    <dsp:sp modelId="{BFAADB6A-3AF8-488F-B045-5DAEEED730DB}">
      <dsp:nvSpPr>
        <dsp:cNvPr id="0" name=""/>
        <dsp:cNvSpPr/>
      </dsp:nvSpPr>
      <dsp:spPr>
        <a:xfrm>
          <a:off x="4499026"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4499026" y="320399"/>
        <a:ext cx="100799" cy="151200"/>
      </dsp:txXfrm>
    </dsp:sp>
    <dsp:sp modelId="{669F7A35-3CC1-4DBE-A782-B3FD220E33F3}">
      <dsp:nvSpPr>
        <dsp:cNvPr id="0" name=""/>
        <dsp:cNvSpPr/>
      </dsp:nvSpPr>
      <dsp:spPr>
        <a:xfrm rot="16200000">
          <a:off x="4617458"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Linear bias correction</a:t>
          </a:r>
          <a:endParaRPr lang="en-GB" sz="800" kern="1200">
            <a:latin typeface="Palatino Linotype" panose="02040502050505030304" pitchFamily="18" charset="0"/>
          </a:endParaRPr>
        </a:p>
      </dsp:txBody>
      <dsp:txXfrm>
        <a:off x="4638700" y="54612"/>
        <a:ext cx="784173" cy="682774"/>
      </dsp:txXfrm>
    </dsp:sp>
    <dsp:sp modelId="{868637B5-DB4A-4580-B970-20F269B0CF63}">
      <dsp:nvSpPr>
        <dsp:cNvPr id="0" name=""/>
        <dsp:cNvSpPr/>
      </dsp:nvSpPr>
      <dsp:spPr>
        <a:xfrm>
          <a:off x="5421420"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5421420" y="320399"/>
        <a:ext cx="100799" cy="151200"/>
      </dsp:txXfrm>
    </dsp:sp>
    <dsp:sp modelId="{EE586D25-02C1-4DA2-98AD-FFF27FB665DC}">
      <dsp:nvSpPr>
        <dsp:cNvPr id="0" name=""/>
        <dsp:cNvSpPr/>
      </dsp:nvSpPr>
      <dsp:spPr>
        <a:xfrm rot="16200000">
          <a:off x="5539851"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Performance evaluation using NSE, KGE, RMSE, and MAE</a:t>
          </a:r>
          <a:endParaRPr lang="en-GB" sz="800" kern="1200">
            <a:latin typeface="Palatino Linotype" panose="02040502050505030304" pitchFamily="18" charset="0"/>
          </a:endParaRPr>
        </a:p>
      </dsp:txBody>
      <dsp:txXfrm>
        <a:off x="5561093" y="54612"/>
        <a:ext cx="784173" cy="682774"/>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2969</TotalTime>
  <Application>LibreOffice/7.3.7.2$Linux_X86_64 LibreOffice_project/30$Build-2</Application>
  <AppVersion>15.0000</AppVersion>
  <Pages>25</Pages>
  <Words>7969</Words>
  <Characters>50549</Characters>
  <CharactersWithSpaces>58299</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2026-02-10T06:45:00Z</dcterms:created>
  <dc:creator>Slobodan Gnjato</dc:creator>
  <dc:description/>
  <dc:language>en-US</dc:language>
  <cp:lastModifiedBy/>
  <cp:lastPrinted>2026-02-09T12:00:00Z</cp:lastPrinted>
  <dcterms:modified xsi:type="dcterms:W3CDTF">2026-04-18T23:28:17Z</dcterms:modified>
  <cp:revision>178</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