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wmf" ContentType="image/x-wmf"/>
  <Override PartName="/word/media/image2.png" ContentType="image/png"/>
  <Override PartName="/word/media/image25.png" ContentType="image/png"/>
  <Override PartName="/word/fontTable.xml" ContentType="application/vnd.openxmlformats-officedocument.wordprocessingml.fontTable+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w:t>
      </w:r>
    </w:p>
    <w:p>
      <w:pPr>
        <w:pStyle w:val="MDPI13authornames"/>
        <w:rPr>
          <w:sz w:val="36"/>
          <w:szCs w:val="20"/>
        </w:rPr>
      </w:pPr>
      <w:r>
        <w:rPr>
          <w:sz w:val="36"/>
          <w:szCs w:val="20"/>
        </w:rPr>
        <w:t>Machine Learning-Based Streamflow Forecasting in the Bosna River Basin (Bosnia and Herzegovina)</w:t>
      </w:r>
    </w:p>
    <w:p>
      <w:pPr>
        <w:pStyle w:val="MDPI13authornames"/>
        <w:rPr>
          <w:sz w:val="36"/>
          <w:szCs w:val="20"/>
        </w:rPr>
      </w:pPr>
      <w:r>
        <w:rPr/>
        <w:t xml:space="preserve">Slobodan Gnjato </w:t>
      </w:r>
      <w:r>
        <w:rPr>
          <w:vertAlign w:val="superscript"/>
        </w:rPr>
        <w:t>1</w:t>
      </w:r>
      <w:r>
        <w:rPr/>
        <w:t xml:space="preserve">, Igor Leščešen </w:t>
      </w:r>
      <w:r>
        <w:rPr>
          <w:vertAlign w:val="superscript"/>
        </w:rPr>
        <w:t>2</w:t>
      </w:r>
      <w:r>
        <w:rPr/>
        <w:t xml:space="preserve">* and Marko Ðukanović </w:t>
      </w:r>
      <w:r>
        <w:rPr>
          <w:vertAlign w:val="superscript"/>
        </w:rPr>
        <w:t>3, 4</w:t>
      </w:r>
    </w:p>
    <w:tbl>
      <w:tblPr>
        <w:tblpPr w:vertAnchor="page" w:horzAnchor="margin" w:leftFromText="198" w:rightFromText="198" w:tblpX="0" w:tblpY="12541"/>
        <w:tblW w:w="241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DengXian"/>
                <w:lang w:val="en-US" w:bidi="en-US"/>
              </w:rPr>
            </w:pPr>
            <w:r>
              <w:rPr>
                <w:rFonts w:eastAsia="DengXian"/>
                <w:b/>
                <w:lang w:val="en-US" w:bidi="en-US"/>
              </w:rPr>
              <w:t>Copyright:</w:t>
            </w:r>
            <w:r>
              <w:rPr>
                <w:rFonts w:eastAsia="DengXian"/>
                <w:lang w:val="en-US" w:bidi="en-US"/>
              </w:rPr>
              <w:t xml:space="preserve"> © 2026 by the authors. Submitted for possible open access publication under the terms and conditions of the </w:t>
            </w:r>
            <w:hyperlink r:id="rId2">
              <w:r>
                <w:rPr>
                  <w:rStyle w:val="InternetLink"/>
                  <w:rFonts w:eastAsia="DengXian"/>
                  <w:u w:val="none"/>
                  <w:lang w:val="en-US" w:bidi="en-US"/>
                </w:rPr>
                <w:t>Creative Commons Attribution (CC BY) license</w:t>
              </w:r>
            </w:hyperlink>
            <w:r>
              <w:rPr>
                <w:rFonts w:eastAsia="DengXian"/>
                <w:lang w:val="en-US" w:bidi="en-US"/>
              </w:rPr>
              <w:t>.</w:t>
            </w:r>
          </w:p>
        </w:tc>
      </w:tr>
    </w:tbl>
    <w:p>
      <w:pPr>
        <w:pStyle w:val="MDPI16affiliation"/>
        <w:rPr/>
      </w:pPr>
      <w:r/>
      <w:r>
        <w:rPr>
          <w:vertAlign w:val="superscript"/>
        </w:rPr>
        <w:t>1</w:t>
      </w:r>
      <w:r>
        <w:rPr/>
        <w:tab/>
        <w:t xml:space="preserve">University of Banja Luka, Faculty of Natural Sciences and Mathematics, Mladena Stojanovića 2, 78000 Banja Luka, Bosnia and Herzegovina; </w:t>
      </w:r>
      <w:hyperlink r:id="rId3">
        <w:r>
          <w:rPr>
            <w:rStyle w:val="InternetLink"/>
          </w:rPr>
          <w:t>slobodan.gnjato@pmf.unibl.org</w:t>
        </w:r>
      </w:hyperlink>
      <w:r>
        <w:rPr/>
        <w:t xml:space="preserve">; </w:t>
      </w:r>
    </w:p>
    <w:p>
      <w:pPr>
        <w:pStyle w:val="MDPI16affiliation"/>
        <w:rPr/>
      </w:pPr>
      <w:r>
        <w:rPr>
          <w:vertAlign w:val="superscript"/>
        </w:rPr>
        <w:t>2</w:t>
      </w:r>
      <w:r>
        <w:rPr/>
        <w:tab/>
        <w:t xml:space="preserve">Institute of Hydrology SAS, Dúbravská cesta 9, Bratislava 841 04, Slovak Republic; </w:t>
      </w:r>
      <w:hyperlink r:id="rId5">
        <w:r>
          <w:rPr>
            <w:rStyle w:val="InternetLink"/>
          </w:rPr>
          <w:t>lescesen@uh.savba.sk</w:t>
        </w:r>
      </w:hyperlink>
    </w:p>
    <w:p>
      <w:pPr>
        <w:pStyle w:val="MDPI16affiliation"/>
        <w:ind w:hanging="0"/>
        <w:rPr/>
      </w:pPr>
      <w:r>
        <w:rPr>
          <w:vertAlign w:val="superscript"/>
        </w:rPr>
        <w:t>3</w:t>
      </w:r>
      <w:r>
        <w:rPr/>
        <w:tab/>
        <w:t xml:space="preserve">University of Nova Gorica, Nova Gorica, Slovenia, </w:t>
      </w:r>
      <w:hyperlink r:id="rId7">
        <w:r>
          <w:rPr>
            <w:rStyle w:val="InternetLink"/>
          </w:rPr>
          <w:t>marko.dukanovic@ung.si</w:t>
        </w:r>
      </w:hyperlink>
    </w:p>
    <w:p>
      <w:pPr>
        <w:pStyle w:val="MDPI16affiliation"/>
        <w:ind w:hanging="0"/>
        <w:rPr/>
      </w:pPr>
      <w:r>
        <w:rPr>
          <w:vertAlign w:val="superscript"/>
        </w:rPr>
        <w:t>4</w:t>
      </w:r>
      <w:r>
        <w:rPr/>
        <w:tab/>
        <w:t xml:space="preserve">Institute of Information Sciences (IZUM), Maribor, Slovenia  </w:t>
      </w:r>
    </w:p>
    <w:p>
      <w:pPr>
        <w:pStyle w:val="MDPI16affiliation"/>
        <w:rPr/>
      </w:pPr>
      <w:r>
        <w:rPr>
          <w:b/>
        </w:rPr>
        <w:t>*</w:t>
      </w:r>
      <w:r>
        <w:rPr/>
        <w:tab/>
        <w:t>Correspondence: lescesen@uh.savba.sk</w:t>
      </w:r>
    </w:p>
    <w:p>
      <w:pPr>
        <w:pStyle w:val="MDPI17abstract"/>
        <w:jc w:val="left"/>
        <w:rPr>
          <w:rStyle w:val="Strong"/>
          <w:rFonts w:eastAsia="等线" w:eastAsiaTheme="minorEastAsia"/>
          <w:b w:val="false"/>
          <w:b w:val="false"/>
          <w:szCs w:val="18"/>
          <w:highlight w:val="yellow"/>
          <w:lang w:eastAsia="zh-CN"/>
        </w:rPr>
      </w:pPr>
      <w:r>
        <w:rPr>
          <w:b/>
          <w:highlight w:val="yellow"/>
        </w:rPr>
        <w:t>Highlights</w:t>
      </w:r>
    </w:p>
    <w:p>
      <w:pPr>
        <w:pStyle w:val="MDPI17abstract"/>
        <w:spacing w:before="0" w:after="0"/>
        <w:rPr>
          <w:highlight w:val="yellow"/>
        </w:rPr>
      </w:pPr>
      <w:r>
        <w:rPr>
          <w:highlight w:val="yellow"/>
        </w:rPr>
        <w:t xml:space="preserve">This is an optional section in “Water”, whose goal is to increase the discoverability and readability of the article via search engines and other scholars. Highlights should not be a copy of the abstract, but a simple text allowing the reader to quickly and simplified find out what the article is about and what can be cited from it. Each of these parts should be </w:t>
      </w:r>
      <w:r>
        <w:rPr>
          <w:spacing w:val="-2"/>
          <w:highlight w:val="yellow"/>
        </w:rPr>
        <w:t xml:space="preserve">devoted up to </w:t>
      </w:r>
      <w:r>
        <w:rPr>
          <w:rFonts w:eastAsia="等线" w:eastAsiaTheme="minorEastAsia"/>
          <w:spacing w:val="-2"/>
          <w:highlight w:val="yellow"/>
          <w:lang w:eastAsia="zh-CN"/>
        </w:rPr>
        <w:t>3–5</w:t>
      </w:r>
      <w:r>
        <w:rPr>
          <w:spacing w:val="-2"/>
          <w:highlight w:val="yellow"/>
        </w:rPr>
        <w:t xml:space="preserve"> bullet points, each bullet point composed of a maximum of 100 characters</w:t>
      </w:r>
      <w:r>
        <w:rPr>
          <w:highlight w:val="yellow"/>
        </w:rPr>
        <w:t>.</w:t>
      </w:r>
    </w:p>
    <w:p>
      <w:pPr>
        <w:pStyle w:val="MDPI31text"/>
        <w:spacing w:before="60" w:after="0"/>
        <w:ind w:left="2608" w:hanging="0"/>
        <w:rPr>
          <w:b/>
          <w:b/>
          <w:bCs/>
          <w:szCs w:val="20"/>
        </w:rPr>
      </w:pPr>
      <w:r>
        <w:rPr>
          <w:b/>
          <w:bCs/>
          <w:szCs w:val="20"/>
        </w:rPr>
        <w:t>What are the main findings?</w:t>
      </w:r>
    </w:p>
    <w:p>
      <w:pPr>
        <w:pStyle w:val="MDPI31text"/>
        <w:spacing w:before="60" w:after="0"/>
        <w:ind w:left="2608" w:hanging="0"/>
        <w:rPr>
          <w:b/>
          <w:b/>
          <w:bCs/>
          <w:szCs w:val="20"/>
        </w:rPr>
      </w:pPr>
      <w:r>
        <w:rPr>
          <w:b/>
          <w:bCs/>
          <w:szCs w:val="20"/>
        </w:rPr>
      </w:r>
    </w:p>
    <w:p>
      <w:pPr>
        <w:pStyle w:val="MDPI31text"/>
        <w:ind w:left="2608" w:hanging="0"/>
        <w:rPr/>
      </w:pPr>
      <w:r>
        <w:rPr/>
        <w:t xml:space="preserve">• </w:t>
      </w:r>
      <w:r>
        <w:rPr/>
        <w:t>Random Forest and XGBoost outperformed LSTM in monthly streamflow prediction.</w:t>
        <w:br/>
        <w:t>• Random Forest shows the most robust generalization on test data.</w:t>
        <w:br/>
        <w:t>• The dominance of lagged precipitation and streamflow reflects basin memory effects.</w:t>
      </w:r>
    </w:p>
    <w:p>
      <w:pPr>
        <w:pStyle w:val="MDPI31text"/>
        <w:ind w:left="2608" w:hanging="0"/>
        <w:rPr/>
      </w:pPr>
      <w:r>
        <w:rPr/>
      </w:r>
    </w:p>
    <w:p>
      <w:pPr>
        <w:pStyle w:val="MDPI31text"/>
        <w:ind w:left="2608" w:hanging="0"/>
        <w:rPr>
          <w:b/>
          <w:b/>
          <w:bCs/>
          <w:szCs w:val="20"/>
        </w:rPr>
      </w:pPr>
      <w:r>
        <w:rPr>
          <w:b/>
          <w:bCs/>
          <w:szCs w:val="20"/>
        </w:rPr>
        <w:t>What are the implications of the main findings?</w:t>
      </w:r>
    </w:p>
    <w:p>
      <w:pPr>
        <w:pStyle w:val="MDPI38bullet"/>
        <w:numPr>
          <w:ilvl w:val="0"/>
          <w:numId w:val="2"/>
        </w:numPr>
        <w:rPr>
          <w:szCs w:val="20"/>
        </w:rPr>
      </w:pPr>
      <w:r>
        <w:rPr>
          <w:szCs w:val="20"/>
        </w:rPr>
        <w:t>Tree-based ML models appeared to be most suitable for monthly streamflow forecasting in data-limited basins.</w:t>
      </w:r>
    </w:p>
    <w:p>
      <w:pPr>
        <w:pStyle w:val="MDPI38bullet"/>
        <w:numPr>
          <w:ilvl w:val="0"/>
          <w:numId w:val="2"/>
        </w:numPr>
        <w:rPr>
          <w:szCs w:val="20"/>
        </w:rPr>
      </w:pPr>
      <w:r>
        <w:rPr>
          <w:szCs w:val="20"/>
        </w:rPr>
        <w:t>Explainable AI validates the physical relevance of main hydro-climatic determinants of streamflow.</w:t>
      </w:r>
    </w:p>
    <w:p>
      <w:pPr>
        <w:pStyle w:val="MDPI38bullet"/>
        <w:numPr>
          <w:ilvl w:val="0"/>
          <w:numId w:val="2"/>
        </w:numPr>
        <w:rPr>
          <w:szCs w:val="20"/>
        </w:rPr>
      </w:pPr>
      <w:r>
        <w:rPr>
          <w:szCs w:val="20"/>
        </w:rPr>
        <w:t>Reliable ML-based forecasts can support national water management in Bosnia and Herzegovina.</w:t>
      </w:r>
    </w:p>
    <w:p>
      <w:pPr>
        <w:pStyle w:val="MDPI38bullet"/>
        <w:numPr>
          <w:ilvl w:val="0"/>
          <w:numId w:val="0"/>
        </w:numPr>
        <w:ind w:left="3033" w:hanging="0"/>
        <w:rPr>
          <w:szCs w:val="20"/>
        </w:rPr>
      </w:pPr>
      <w:r>
        <w:rPr>
          <w:szCs w:val="20"/>
        </w:rPr>
      </w:r>
    </w:p>
    <w:p>
      <w:pPr>
        <w:pStyle w:val="MDPI38bullet"/>
        <w:numPr>
          <w:ilvl w:val="0"/>
          <w:numId w:val="0"/>
        </w:numPr>
        <w:ind w:left="3033" w:hanging="0"/>
        <w:rPr>
          <w:b/>
          <w:b/>
          <w:bCs/>
        </w:rPr>
      </w:pPr>
      <w:r>
        <w:rPr/>
      </w:r>
    </w:p>
    <w:p>
      <w:pPr>
        <w:pStyle w:val="MDPI38bullet"/>
        <w:numPr>
          <w:ilvl w:val="0"/>
          <w:numId w:val="0"/>
        </w:numPr>
        <w:ind w:hanging="0"/>
        <w:rPr>
          <w:b/>
          <w:b/>
          <w:bCs/>
        </w:rPr>
      </w:pPr>
      <w:r>
        <w:rPr/>
      </w:r>
    </w:p>
    <w:p>
      <w:pPr>
        <w:pStyle w:val="MDPI38bullet"/>
        <w:numPr>
          <w:ilvl w:val="0"/>
          <w:numId w:val="0"/>
        </w:numPr>
        <w:ind w:hanging="0"/>
        <w:rPr>
          <w:b/>
          <w:b/>
          <w:bCs/>
        </w:rPr>
      </w:pPr>
      <w:r>
        <w:rPr>
          <w:b/>
          <w:bCs/>
        </w:rPr>
        <w:t xml:space="preserve"> </w:t>
      </w:r>
      <w:r>
        <w:rPr>
          <w:b/>
          <w:bCs/>
        </w:rPr>
        <w:tab/>
        <w:tab/>
        <w:tab/>
        <w:tab/>
        <w:tab/>
        <w:tab/>
        <w:t>Abstract</w:t>
      </w:r>
    </w:p>
    <w:p>
      <w:pPr>
        <w:pStyle w:val="MDPI38bullet"/>
        <w:numPr>
          <w:ilvl w:val="0"/>
          <w:numId w:val="0"/>
        </w:numPr>
        <w:ind w:left="0" w:hanging="0"/>
        <w:rPr/>
      </w:pPr>
      <w:r>
        <w:rPr/>
      </w:r>
    </w:p>
    <w:p>
      <w:pPr>
        <w:pStyle w:val="MDPI38bullet"/>
        <w:numPr>
          <w:ilvl w:val="0"/>
          <w:numId w:val="0"/>
        </w:numPr>
        <w:ind w:left="3033" w:hanging="0"/>
        <w:rPr/>
      </w:pPr>
      <w:r>
        <w:rPr/>
        <w:t>As one of the key water systems in Bosnia and Herzegovina, the Bosna River Basin plays a vital role in sustaining agricultural production, industrial development, and water supply for municipalities. Accurate streamflow forecasting is fundamental to optimising water resource planning. This study explores streamflow forecasting using long-term data (1961–2020) from five meteorological and one hydrological station distributed across various sections of the basin. For precise streamflow forecasting, the study employs several machine-learning models: Random Forest, LSTM, and XGBoost. Model performance is evaluated using widely used metrics, including mean absolute error (MAE), root mean square error (RMSE), Nash–Sutcliffe efficiency (NSE), and Kling–Gupta efficiency (KGE). Among the tested models, Random Forest proves to be the most accurate for streamflow forecasting, confirming its effectiveness in capturing the complex dynamics of hydrological processes. During the testing phase, the Random Forest model achieved a Nash–Sutcliffe Efficiency (NSE) of 0.591 and a Kling–Gupta Efficiency (KGE) of 0.591, demonstrating good generalisation and reliable predictions. The results demonstrate the strength of Random Forest in capturing nonlinear hydrological patterns and supporting reliable streamflow forecasting for national water management.</w:t>
      </w:r>
    </w:p>
    <w:p>
      <w:pPr>
        <w:pStyle w:val="MDPI38bullet"/>
        <w:numPr>
          <w:ilvl w:val="0"/>
          <w:numId w:val="0"/>
        </w:numPr>
        <w:ind w:left="3033" w:hanging="0"/>
        <w:rPr/>
      </w:pPr>
      <w:r>
        <w:rPr/>
      </w:r>
    </w:p>
    <w:p>
      <w:pPr>
        <w:pStyle w:val="MDPI38bullet"/>
        <w:numPr>
          <w:ilvl w:val="0"/>
          <w:numId w:val="0"/>
        </w:numPr>
        <w:ind w:left="3033" w:hanging="0"/>
        <w:rPr/>
      </w:pPr>
      <w:r>
        <w:rPr>
          <w:b/>
        </w:rPr>
        <w:t xml:space="preserve">Keywords: </w:t>
      </w:r>
      <w:r>
        <w:rPr/>
        <w:t>LSTM; RF; XGBoost; mean streamflow forecast; Bosna River, river basin management</w:t>
      </w:r>
    </w:p>
    <w:p>
      <w:pPr>
        <w:pStyle w:val="MDPI19line"/>
        <w:rPr/>
      </w:pPr>
      <w:r>
        <w:rPr/>
      </w:r>
    </w:p>
    <w:p>
      <w:pPr>
        <w:pStyle w:val="MDPI21heading1"/>
        <w:rPr/>
      </w:pPr>
      <w:r>
        <w:rPr/>
        <w:t>1. Introduction</w:t>
      </w:r>
    </w:p>
    <w:p>
      <w:pPr>
        <w:pStyle w:val="MDPI31text"/>
        <w:rPr/>
      </w:pPr>
      <w:r>
        <w:rPr/>
        <w:t>Reliable streamflow predictions are fundamental to strengthening resilience and sustainability in water resources management [1]. Management practices commonly involve assessments that incorporate hydrological extremes analysis, reservoir operation, public water use, hydraulic infrastructure planning at the national scale, and agricultural systems [2, 2,3]. At the same time, pronounced shifts in the hydrological cycle, driven by anthropogenic climate change forcing, continue to raise concerns, as projected changes in hydrological regimes suggest an overall decline in annual precipitation, coupled with an elevated likelihood of droughts and amplification of rapid extreme events [4]. Accurate streamflow prediction is a demanding task owing to the complex, non-linear behavior of hydrological systems, shaped by precipitation patterns, temperature variations, land use, human interventions, and a lack of empirical data [5, 5,6].</w:t>
      </w:r>
    </w:p>
    <w:p>
      <w:pPr>
        <w:pStyle w:val="MDPI31text"/>
        <w:rPr/>
      </w:pPr>
      <w:r>
        <w:rPr/>
        <w:t xml:space="preserve">Significant efforts have been devoted to developing and implementing approaches to enhance the reliability and forecast precision of streamflow predictions, which can generally be grouped into two categories. The first category comprises models intended to simulate the rainfall-runoff response grounded in physical principles. Although they rely on simplified premises, they require substantial data inputs [7]. The second category comprises data-driven models, including statistical and ML methodologies, which rely on historical observations rather than physical process information, enabling empirical use and straightforward implementation [7, 8]. Over the past decade, machine learning (ML) models have established a significant role in hydrological modelling, especially in streamflow forecasting, where they tend to outperform traditional physically based approaches in forecast precision [9]. </w:t>
      </w:r>
    </w:p>
    <w:p>
      <w:pPr>
        <w:pStyle w:val="MDPI31text"/>
        <w:rPr/>
      </w:pPr>
      <w:r>
        <w:rPr/>
        <w:t>The use of ML techniques for streamflow forecasting has become increasingly common among scientists over the past decade, primarily because of their capability to capture non-linear dynamics and temporal variability in hydrological processes and interacting factors without requiring explicit representation of underlying physical processes [9, 10]. A variety of models have been utilised in streamflow prediction research, with Artificial Neural Networks (ANNs) [11, 12, 11,12,13], Long short- term memory (LSTM) [14, 15, 16], Deep Neural Networks (DNNs) [17, 18], Support Vector Regression (SVR) [19, 19,20], Random Forest (RF) [21, 21,22], Light Gradient Boosting Machine (LGBM) [23, 23,24], and eXtreme Gradient Boosting (XGBoost) [25, 26, 25,26,27], being among the most commonly employed techniques.</w:t>
      </w:r>
    </w:p>
    <w:p>
      <w:pPr>
        <w:pStyle w:val="MDPI31text"/>
        <w:rPr/>
      </w:pPr>
      <w:r>
        <w:rPr/>
        <w:t>This research examines the use of RF, XGBoost, and LSTM networks for streamflow forecasting at the Doboj hydrological stations in the Bosna River Basin (BRB) in Bosnia and Herzegovina (BH). These techniques have proven remarkably scalable, robust, and highly efficient in solving various problems [28], not only in hydrological forecasting, as already mentioned, but also in complementary fields such as finance [29], remote sensing [30], sentiment analysis [31], and even solar energy forecasting [32], making them an attractive choice for a predictive model.</w:t>
      </w:r>
    </w:p>
    <w:p>
      <w:pPr>
        <w:pStyle w:val="MDPI31text"/>
        <w:rPr/>
      </w:pPr>
      <w:r>
        <w:rPr/>
        <w:t>To the best of our knowledge, this study represents the first application of machine learning (ML) methods for streamflow forecasting in Bosnia and Herzegovina. The primary objective was to address a critical gap in the existing literature by demonstrating the potential of ML techniques in the water sciences through a case study of the Bosna River Basin (BRB), thereby moving beyond the predominantly descriptive analyses of streamflow previously conducted in the country. An additional objective was to provide a foundation for understanding basin-specific hydrological processes and water management challenges within the BRB, with particular emphasis on accurate and interpretable forecasting. To this end, explainable artificial intelligence (XAI) tools were employed [33] to relate model predictions to fundamental hydrological drivers and their temporal lags. This approach offers new insights into the relative influence of individual features, facilitating high-quality predictions while enhancing model transparency and hydrological interpretability.</w:t>
      </w:r>
    </w:p>
    <w:p>
      <w:pPr>
        <w:pStyle w:val="MDPI31text"/>
        <w:rPr/>
      </w:pPr>
      <w:r>
        <w:rPr/>
        <w:t>A comprehensive evaluation of multiple ML frameworks across the BRB is expected to inform future research directions and facilitate the effective integration of machine learning into water resources management practices worldwide.</w:t>
      </w:r>
    </w:p>
    <w:p>
      <w:pPr>
        <w:pStyle w:val="MDPI21heading1"/>
        <w:rPr/>
      </w:pPr>
      <w:r>
        <w:rPr>
          <w:lang w:eastAsia="zh-CN"/>
        </w:rPr>
        <w:t xml:space="preserve">2. </w:t>
      </w:r>
      <w:r>
        <w:rPr/>
        <w:t>Materials and Methods</w:t>
      </w:r>
    </w:p>
    <w:p>
      <w:pPr>
        <w:pStyle w:val="MDPI31text"/>
        <w:rPr/>
      </w:pPr>
      <w:r>
        <w:rPr/>
      </w:r>
    </w:p>
    <w:p>
      <w:pPr>
        <w:pStyle w:val="MDPI31text"/>
        <w:rPr>
          <w:i/>
          <w:i/>
          <w:iCs/>
        </w:rPr>
      </w:pPr>
      <w:r>
        <w:rPr/>
        <w:t xml:space="preserve">2.1. </w:t>
      </w:r>
      <w:r>
        <w:rPr>
          <w:i/>
          <w:iCs/>
        </w:rPr>
        <w:t>Study area</w:t>
      </w:r>
    </w:p>
    <w:p>
      <w:pPr>
        <w:pStyle w:val="MDPI31text"/>
        <w:rPr/>
      </w:pPr>
      <w:r>
        <w:rPr/>
      </w:r>
    </w:p>
    <w:p>
      <w:pPr>
        <w:pStyle w:val="MDPI31text"/>
        <w:rPr/>
      </w:pPr>
      <w:r>
        <w:rPr/>
        <w:t>The Bosna River Basin (BRB) is the largest and one of the principal basins of Bosnia and Herzegovina (BH), with its entire area situated within the national territory and extending across the central, eastern and northern parts of the country. The BRB encompasses primary urban and industrial centers, such as Sarajevo, Zenica, Tuzla, and Doboj (Figure 1), which together host more than 50% of the national population, thereby establishing the basin as an economic hotspot. The basin occupies an area of 10457 km2, covering ~20% of the overall area of BH, whereas the length of the river and mean elevation of the basin are 275 km and 640 m, respectively [34]. The river has its source at the foot of Mt Igman at 500 m a.s.l., emerging as a substantial karst spring at the transition between the limestone formation and the alluvial plain. The upper section of the BRB features a well-developed drainage network, comprising several major and numerous smaller torrential streams that rise significantly during heavy precipitation events, often causing floods. It extends from the river source to the city of Zenica. This upper section of the basin is mainly composed of schists, sandstones, limestones and lacustrine sediments, but, unlike in most other river basins in BH, limestone is of minor effect in the BRB [35]. Extending from Zenica to Doboj, the middle section of the BRB is supplied by several major tributaries, including the Usora, Krivaja, and Spreča Rivers. The lower northern part of the Bosna River Basin extends from the town of Doboj to the confluence of the Bosna with the Sava River. This segment lacks major tributaries, and the area's geology is predominantly characterised by alluvial sediments. The Bosna River, along with its main affluents, is characterised by the Posavina subtype of the pluvial-nival water regime and exhibits peak streamflow in April and March and minimum streamflow in August and September [36]. Climatic patterns in the Bosna River basin differ from mountainous conditions in the south to continental and moderately continental types in the central and northern segments of the basin [35].</w:t>
      </w:r>
    </w:p>
    <w:p>
      <w:pPr>
        <w:pStyle w:val="MDPI31text"/>
        <w:rPr/>
      </w:pPr>
      <w:r>
        <w:rPr/>
      </w:r>
    </w:p>
    <w:p>
      <w:pPr>
        <w:pStyle w:val="MDPI31text"/>
        <w:jc w:val="left"/>
        <w:rPr/>
      </w:pPr>
      <w:r>
        <w:rPr/>
        <w:drawing>
          <wp:inline distT="0" distB="0" distL="0" distR="0">
            <wp:extent cx="3351530" cy="37325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8"/>
                    <a:stretch>
                      <a:fillRect/>
                    </a:stretch>
                  </pic:blipFill>
                  <pic:spPr bwMode="auto">
                    <a:xfrm>
                      <a:off x="0" y="0"/>
                      <a:ext cx="3351530" cy="3732530"/>
                    </a:xfrm>
                    <a:prstGeom prst="rect">
                      <a:avLst/>
                    </a:prstGeom>
                  </pic:spPr>
                </pic:pic>
              </a:graphicData>
            </a:graphic>
          </wp:inline>
        </w:drawing>
      </w:r>
    </w:p>
    <w:p>
      <w:pPr>
        <w:pStyle w:val="Normal"/>
        <w:spacing w:lineRule="auto" w:line="240"/>
        <w:rPr>
          <w:rFonts w:ascii="Times New Roman" w:hAnsi="Times New Roman"/>
        </w:rPr>
      </w:pPr>
      <w:r>
        <w:rPr>
          <w:rFonts w:ascii="Times New Roman" w:hAnsi="Times New Roman"/>
          <w:b/>
          <w:bCs/>
        </w:rPr>
        <w:t xml:space="preserve">                              </w:t>
      </w:r>
      <w:r>
        <w:rPr>
          <w:rFonts w:ascii="Times New Roman" w:hAnsi="Times New Roman"/>
          <w:b/>
          <w:bCs/>
        </w:rPr>
        <w:t>Figure 1.</w:t>
      </w:r>
      <w:r>
        <w:rPr>
          <w:rFonts w:ascii="Times New Roman" w:hAnsi="Times New Roman"/>
        </w:rPr>
        <w:t xml:space="preserve"> Map of the Bosna River Basin</w:t>
      </w:r>
    </w:p>
    <w:p>
      <w:pPr>
        <w:pStyle w:val="MDPI31text"/>
        <w:rPr/>
      </w:pPr>
      <w:r>
        <w:rPr/>
      </w:r>
    </w:p>
    <w:p>
      <w:pPr>
        <w:pStyle w:val="MDPI31text"/>
        <w:rPr/>
      </w:pPr>
      <w:r>
        <w:rPr/>
        <w:t xml:space="preserve">2.2. </w:t>
      </w:r>
      <w:r>
        <w:rPr>
          <w:i/>
          <w:iCs/>
        </w:rPr>
        <w:t>Dataset Description</w:t>
      </w:r>
    </w:p>
    <w:p>
      <w:pPr>
        <w:pStyle w:val="MDPI31text"/>
        <w:rPr/>
      </w:pPr>
      <w:r>
        <w:rPr/>
      </w:r>
    </w:p>
    <w:p>
      <w:pPr>
        <w:pStyle w:val="MDPI31text"/>
        <w:rPr/>
      </w:pPr>
      <w:r>
        <w:rPr/>
        <w:t>The dataset consists of monthly aggregated observations spanning the period from 1961 to 2020. Each record corresponds to a single month. Meteorological predictors include the mean monthly precipitation (P) and mean monthly air temperature (T), observed at five meteorological stations located within the Bosna River basin: Bjelašnica, Sarajevo, Zenica, Tuzla, and Doboj. The target variable for prediction is the mean monthly streamflow (Q), measured at the most downstream hydrological station on the Bosna River (Doboj station). All variables were aggregated to a monthly resolution to ensure temporal consistency and long-term coverage. In addition, we found a few missing data points for the Zenica station over a 6-month period in 2017. These are properly filled in by applying the Climatological Monthly Mean Filling across all historical data for that station. All hydroclimatic data were delivered by the Republic Hydrometeorological Institute of the Republic of Srpska.</w:t>
      </w:r>
    </w:p>
    <w:p>
      <w:pPr>
        <w:pStyle w:val="MDPI31text"/>
        <w:rPr/>
      </w:pPr>
      <w:r>
        <w:rPr/>
      </w:r>
    </w:p>
    <w:p>
      <w:pPr>
        <w:pStyle w:val="MDPI31text"/>
        <w:rPr/>
      </w:pPr>
      <w:r>
        <w:rPr/>
        <w:t xml:space="preserve">2.3. </w:t>
      </w:r>
      <w:r>
        <w:rPr>
          <w:i/>
          <w:iCs/>
        </w:rPr>
        <w:t>Compared Models</w:t>
      </w:r>
    </w:p>
    <w:p>
      <w:pPr>
        <w:pStyle w:val="MDPI31text"/>
        <w:rPr/>
      </w:pPr>
      <w:r>
        <w:rPr/>
      </w:r>
    </w:p>
    <w:p>
      <w:pPr>
        <w:pStyle w:val="MDPI31text"/>
        <w:rPr/>
      </w:pPr>
      <w:r>
        <w:rPr/>
        <w:t xml:space="preserve"> </w:t>
      </w:r>
      <w:r>
        <w:rPr/>
        <w:t xml:space="preserve">In this study, three data-driven modelling approaches were evaluated for predicting mean monthly streamflow in the Bosna River: Random Forest (RF), Extreme Gradient Boosting (XGBoost), and Long Short-Term Memory (LSTM) neural networks. Random Forest is an ensemble learning method based on bootstrap aggregation of decision trees [37]. Owing to its robustness to noise, ability to capture nonlinear relationships, and reduced sensitivity to multicollinearity, RF has been widely adopted in hydrological modelling and is commonly used as a strong baseline [38,39]. XGBoost is a gradient boosting framework that sequentially constructs decision trees, with each new tree aiming to correct the errors of its predecessors [40], </w:t>
      </w:r>
      <w:r>
        <w:rPr>
          <w:highlight w:val="red"/>
        </w:rPr>
        <w:t>Leščešen et al., (https://doi.org/10.5194/egusphere-egu25-8061)</w:t>
      </w:r>
      <w:r>
        <w:rPr/>
        <w:t xml:space="preserve"> Compared with RF, XGBoost provides enhanced control over model complexity through regularisation and learning-rate parameters, and has demonstrated strong performance in hydro-climatic prediction tasks [41,42]. LSTM is a class of recurrent neural networks designed to capture long-term temporal dependencies in sequential data [43] </w:t>
      </w:r>
      <w:r>
        <w:rPr>
          <w:highlight w:val="red"/>
        </w:rPr>
        <w:t>Leščešen et al., 2025 (https://www.mdpi.com/2073-4441/17/6/907)</w:t>
      </w:r>
      <w:r>
        <w:rPr/>
        <w:t>. It is included in this study to assess whether deep learning models can extract additional predictive skill from long-term hydro-climatic time series compared with tree-based ensemble methods, as demonstrated in recent rainfall–runoff and streamflow forecasting studies [44,45].</w:t>
      </w:r>
    </w:p>
    <w:p>
      <w:pPr>
        <w:pStyle w:val="MDPI31text"/>
        <w:rPr/>
      </w:pPr>
      <w:r>
        <w:rPr/>
        <w:t>Together, these models represent complementary modelling paradigms: bagging-based ensembles (RF), boosting-based ensembles (XGBoost), and sequence-based deep learning (LSTM).</w:t>
      </w:r>
    </w:p>
    <w:p>
      <w:pPr>
        <w:pStyle w:val="MDPI31text"/>
        <w:rPr/>
      </w:pPr>
      <w:r>
        <w:rPr/>
      </w:r>
    </w:p>
    <w:p>
      <w:pPr>
        <w:pStyle w:val="MDPI31text"/>
        <w:rPr/>
      </w:pPr>
      <w:r>
        <w:rPr/>
        <w:t xml:space="preserve">2.4. </w:t>
      </w:r>
      <w:r>
        <w:rPr>
          <w:i/>
          <w:iCs/>
        </w:rPr>
        <w:t>Feature Engineering and Lagged Variables</w:t>
      </w:r>
    </w:p>
    <w:p>
      <w:pPr>
        <w:pStyle w:val="MDPI31text"/>
        <w:rPr/>
      </w:pPr>
      <w:r>
        <w:rPr/>
      </w:r>
    </w:p>
    <w:p>
      <w:pPr>
        <w:pStyle w:val="MDPI31text"/>
        <w:rPr>
          <w:lang w:val="en-GB"/>
        </w:rPr>
      </w:pPr>
      <w:bookmarkStart w:id="0" w:name="_Hlk221601577"/>
      <w:r>
        <w:rPr>
          <w:highlight w:val="yellow"/>
          <w:lang w:val="en-GB"/>
        </w:rPr>
        <w:t>To account for hydrological memory and delayed catchment responses, lagged predictor variables were incorporated into the modelling framework. Let (Pt), (Tt), and (Qt) denote precipitation, air temperature, and streamflow at time step (t), respectively. The predictor set comprised lagged precipitation terms at one-, two-, and three-month intervals (Pt-1, Pt-2, Pt-3), lagged temperature terms at one- and two-month intervals (Tt-1, Tt-2), and an autoregressive streamflow term representing previous-month discharge (Qt-1). The autoregressive streamflow term captures short-term persistence in river discharge and is widely used in hydrological forecasting to enhance predictive skill. Lagged features were generated independently for each gauging station and variable, and all observations affected by missing values arising from the lagging procedure were excluded from the training dataset prior to model calibration.</w:t>
      </w:r>
      <w:bookmarkEnd w:id="0"/>
    </w:p>
    <w:p>
      <w:pPr>
        <w:pStyle w:val="MDPI31text"/>
        <w:ind w:left="0" w:hanging="0"/>
        <w:rPr/>
      </w:pPr>
      <w:r>
        <w:rPr/>
      </w:r>
    </w:p>
    <w:p>
      <w:pPr>
        <w:pStyle w:val="MDPI31text"/>
        <w:rPr/>
      </w:pPr>
      <w:r>
        <w:rPr/>
        <w:t xml:space="preserve">2.5. </w:t>
      </w:r>
      <w:r>
        <w:rPr>
          <w:i/>
          <w:iCs/>
        </w:rPr>
        <w:t>Performance Metrics</w:t>
      </w:r>
    </w:p>
    <w:p>
      <w:pPr>
        <w:pStyle w:val="MDPI31text"/>
        <w:rPr/>
      </w:pPr>
      <w:r>
        <w:rPr/>
      </w:r>
    </w:p>
    <w:p>
      <w:pPr>
        <w:pStyle w:val="MDPI31text"/>
        <w:rPr/>
      </w:pPr>
      <w:r>
        <w:rPr/>
        <w:t>Model performance was evaluated using hydrologically relevant efficiency metrics. Besides Minimum Absolute Error (MAE) and the Root Mean Square Error (RMSE), Nash–Sutcliffe and Kling–Gupta measures were determined. The Nash–Sutcliffe Efficiency (NSE) measures the predictive skill of a model relative to the mean of observed streamflow values and is defined as:</w:t>
      </w:r>
    </w:p>
    <w:p>
      <w:pPr>
        <w:pStyle w:val="MDPI31text"/>
        <w:rPr/>
      </w:pPr>
      <w:r>
        <w:rPr/>
      </w:r>
    </w:p>
    <w:p>
      <w:pPr>
        <w:pStyle w:val="MDPI31text"/>
        <w:jc w:val="center"/>
        <w:rPr/>
      </w:pPr>
      <w:r>
        <w:rPr/>
        <w:drawing>
          <wp:inline distT="0" distB="0" distL="0" distR="0">
            <wp:extent cx="1666875" cy="533400"/>
            <wp:effectExtent l="0" t="0" r="0" b="0"/>
            <wp:docPr id="2" name="Picture 12"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A black and white math equations&#10;&#10;AI-generated content may be incorrect."/>
                    <pic:cNvPicPr>
                      <a:picLocks noChangeAspect="1" noChangeArrowheads="1"/>
                    </pic:cNvPicPr>
                  </pic:nvPicPr>
                  <pic:blipFill>
                    <a:blip r:embed="rId9"/>
                    <a:stretch>
                      <a:fillRect/>
                    </a:stretch>
                  </pic:blipFill>
                  <pic:spPr bwMode="auto">
                    <a:xfrm>
                      <a:off x="0" y="0"/>
                      <a:ext cx="1666875" cy="533400"/>
                    </a:xfrm>
                    <a:prstGeom prst="rect">
                      <a:avLst/>
                    </a:prstGeom>
                  </pic:spPr>
                </pic:pic>
              </a:graphicData>
            </a:graphic>
          </wp:inline>
        </w:drawing>
      </w:r>
    </w:p>
    <w:p>
      <w:pPr>
        <w:pStyle w:val="MDPI31text"/>
        <w:rPr/>
      </w:pPr>
      <w:r>
        <w:rPr/>
        <w:t xml:space="preserve">where </w:t>
      </w:r>
      <w:r>
        <w:rPr/>
        <w:drawing>
          <wp:inline distT="0" distB="0" distL="0" distR="0">
            <wp:extent cx="142875" cy="200025"/>
            <wp:effectExtent l="0" t="0" r="0" b="0"/>
            <wp:docPr id="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
                    <pic:cNvPicPr>
                      <a:picLocks noChangeAspect="1" noChangeArrowheads="1"/>
                    </pic:cNvPicPr>
                  </pic:nvPicPr>
                  <pic:blipFill>
                    <a:blip r:embed="rId10"/>
                    <a:stretch>
                      <a:fillRect/>
                    </a:stretch>
                  </pic:blipFill>
                  <pic:spPr bwMode="auto">
                    <a:xfrm>
                      <a:off x="0" y="0"/>
                      <a:ext cx="142875" cy="200025"/>
                    </a:xfrm>
                    <a:prstGeom prst="rect">
                      <a:avLst/>
                    </a:prstGeom>
                  </pic:spPr>
                </pic:pic>
              </a:graphicData>
            </a:graphic>
          </wp:inline>
        </w:drawing>
      </w:r>
      <w:r>
        <w:rPr/>
        <w:t xml:space="preserve"> and </w:t>
      </w:r>
      <w:r>
        <w:rPr/>
        <w:drawing>
          <wp:inline distT="0" distB="0" distL="0" distR="0">
            <wp:extent cx="142875" cy="219075"/>
            <wp:effectExtent l="0" t="0" r="0" b="0"/>
            <wp:docPr id="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
                    <pic:cNvPicPr>
                      <a:picLocks noChangeAspect="1" noChangeArrowheads="1"/>
                    </pic:cNvPicPr>
                  </pic:nvPicPr>
                  <pic:blipFill>
                    <a:blip r:embed="rId11"/>
                    <a:stretch>
                      <a:fillRect/>
                    </a:stretch>
                  </pic:blipFill>
                  <pic:spPr bwMode="auto">
                    <a:xfrm>
                      <a:off x="0" y="0"/>
                      <a:ext cx="142875" cy="219075"/>
                    </a:xfrm>
                    <a:prstGeom prst="rect">
                      <a:avLst/>
                    </a:prstGeom>
                  </pic:spPr>
                </pic:pic>
              </a:graphicData>
            </a:graphic>
          </wp:inline>
        </w:drawing>
      </w:r>
      <w:r>
        <w:rPr/>
        <w:t xml:space="preserve"> denote observed and predicted streamflow values, respectively, and </w:t>
      </w:r>
      <w:r>
        <w:rPr/>
        <w:drawing>
          <wp:inline distT="0" distB="0" distL="0" distR="0">
            <wp:extent cx="104775" cy="200025"/>
            <wp:effectExtent l="0" t="0" r="0" b="0"/>
            <wp:docPr id="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
                    <pic:cNvPicPr>
                      <a:picLocks noChangeAspect="1" noChangeArrowheads="1"/>
                    </pic:cNvPicPr>
                  </pic:nvPicPr>
                  <pic:blipFill>
                    <a:blip r:embed="rId12"/>
                    <a:stretch>
                      <a:fillRect/>
                    </a:stretch>
                  </pic:blipFill>
                  <pic:spPr bwMode="auto">
                    <a:xfrm>
                      <a:off x="0" y="0"/>
                      <a:ext cx="104775" cy="200025"/>
                    </a:xfrm>
                    <a:prstGeom prst="rect">
                      <a:avLst/>
                    </a:prstGeom>
                  </pic:spPr>
                </pic:pic>
              </a:graphicData>
            </a:graphic>
          </wp:inline>
        </w:drawing>
      </w:r>
      <w:r>
        <w:rPr/>
        <w:t xml:space="preserve"> is the mean of observed streamflows.</w:t>
      </w:r>
    </w:p>
    <w:p>
      <w:pPr>
        <w:pStyle w:val="MDPI31text"/>
        <w:rPr/>
      </w:pPr>
      <w:r>
        <w:rPr/>
      </w:r>
    </w:p>
    <w:p>
      <w:pPr>
        <w:pStyle w:val="MDPI31text"/>
        <w:rPr/>
      </w:pPr>
      <w:r>
        <w:rPr/>
        <w:t>The Kling–Gupta Efficiency (KGE) decomposes model performance into correlation, bias, and variability components:</w:t>
      </w:r>
    </w:p>
    <w:p>
      <w:pPr>
        <w:pStyle w:val="MDPI31text"/>
        <w:jc w:val="center"/>
        <w:rPr/>
      </w:pPr>
      <w:r>
        <w:rPr/>
      </w:r>
    </w:p>
    <w:p>
      <w:pPr>
        <w:pStyle w:val="MDPI31text"/>
        <w:jc w:val="center"/>
        <w:rPr/>
      </w:pPr>
      <w:r>
        <w:rPr/>
        <w:drawing>
          <wp:inline distT="0" distB="0" distL="0" distR="0">
            <wp:extent cx="2581275" cy="247650"/>
            <wp:effectExtent l="0" t="0" r="0" b="0"/>
            <wp:docPr id="6" name="Picture 16"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descr="A black and white math symbol&#10;&#10;AI-generated content may be incorrect."/>
                    <pic:cNvPicPr>
                      <a:picLocks noChangeAspect="1" noChangeArrowheads="1"/>
                    </pic:cNvPicPr>
                  </pic:nvPicPr>
                  <pic:blipFill>
                    <a:blip r:embed="rId13"/>
                    <a:stretch>
                      <a:fillRect/>
                    </a:stretch>
                  </pic:blipFill>
                  <pic:spPr bwMode="auto">
                    <a:xfrm>
                      <a:off x="0" y="0"/>
                      <a:ext cx="2581275" cy="247650"/>
                    </a:xfrm>
                    <a:prstGeom prst="rect">
                      <a:avLst/>
                    </a:prstGeom>
                  </pic:spPr>
                </pic:pic>
              </a:graphicData>
            </a:graphic>
          </wp:inline>
        </w:drawing>
      </w:r>
    </w:p>
    <w:p>
      <w:pPr>
        <w:pStyle w:val="MDPI31text"/>
        <w:rPr/>
      </w:pPr>
      <w:r>
        <w:rPr/>
      </w:r>
    </w:p>
    <w:p>
      <w:pPr>
        <w:pStyle w:val="MDPI31text"/>
        <w:rPr/>
      </w:pPr>
      <w:r>
        <w:rPr/>
        <w:t xml:space="preserve">where </w:t>
      </w:r>
      <w:r>
        <w:rPr/>
        <w:drawing>
          <wp:inline distT="0" distB="0" distL="0" distR="0">
            <wp:extent cx="66675" cy="200025"/>
            <wp:effectExtent l="0" t="0" r="0" b="0"/>
            <wp:docPr id="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descr=""/>
                    <pic:cNvPicPr>
                      <a:picLocks noChangeAspect="1" noChangeArrowheads="1"/>
                    </pic:cNvPicPr>
                  </pic:nvPicPr>
                  <pic:blipFill>
                    <a:blip r:embed="rId14"/>
                    <a:stretch>
                      <a:fillRect/>
                    </a:stretch>
                  </pic:blipFill>
                  <pic:spPr bwMode="auto">
                    <a:xfrm>
                      <a:off x="0" y="0"/>
                      <a:ext cx="66675" cy="200025"/>
                    </a:xfrm>
                    <a:prstGeom prst="rect">
                      <a:avLst/>
                    </a:prstGeom>
                  </pic:spPr>
                </pic:pic>
              </a:graphicData>
            </a:graphic>
          </wp:inline>
        </w:drawing>
      </w:r>
      <w:r>
        <w:rPr/>
        <w:t xml:space="preserve"> is the Pearson correlation coefficient, </w:t>
      </w:r>
      <w:r>
        <w:rPr/>
        <w:drawing>
          <wp:inline distT="0" distB="0" distL="0" distR="0">
            <wp:extent cx="95250" cy="200025"/>
            <wp:effectExtent l="0" t="0" r="0" b="0"/>
            <wp:docPr id="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descr=""/>
                    <pic:cNvPicPr>
                      <a:picLocks noChangeAspect="1" noChangeArrowheads="1"/>
                    </pic:cNvPicPr>
                  </pic:nvPicPr>
                  <pic:blipFill>
                    <a:blip r:embed="rId15"/>
                    <a:stretch>
                      <a:fillRect/>
                    </a:stretch>
                  </pic:blipFill>
                  <pic:spPr bwMode="auto">
                    <a:xfrm>
                      <a:off x="0" y="0"/>
                      <a:ext cx="95250" cy="200025"/>
                    </a:xfrm>
                    <a:prstGeom prst="rect">
                      <a:avLst/>
                    </a:prstGeom>
                  </pic:spPr>
                </pic:pic>
              </a:graphicData>
            </a:graphic>
          </wp:inline>
        </w:drawing>
      </w:r>
      <w:r>
        <w:rPr/>
        <w:t xml:space="preserve"> is the bias ratio, and </w:t>
      </w:r>
      <w:r>
        <w:rPr/>
        <w:drawing>
          <wp:inline distT="0" distB="0" distL="0" distR="0">
            <wp:extent cx="76200" cy="200025"/>
            <wp:effectExtent l="0" t="0" r="0" b="0"/>
            <wp:docPr id="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descr=""/>
                    <pic:cNvPicPr>
                      <a:picLocks noChangeAspect="1" noChangeArrowheads="1"/>
                    </pic:cNvPicPr>
                  </pic:nvPicPr>
                  <pic:blipFill>
                    <a:blip r:embed="rId16"/>
                    <a:stretch>
                      <a:fillRect/>
                    </a:stretch>
                  </pic:blipFill>
                  <pic:spPr bwMode="auto">
                    <a:xfrm>
                      <a:off x="0" y="0"/>
                      <a:ext cx="76200" cy="200025"/>
                    </a:xfrm>
                    <a:prstGeom prst="rect">
                      <a:avLst/>
                    </a:prstGeom>
                  </pic:spPr>
                </pic:pic>
              </a:graphicData>
            </a:graphic>
          </wp:inline>
        </w:drawing>
      </w:r>
      <w:r>
        <w:rPr/>
        <w:t xml:space="preserve"> is the variability ratio between predicted and observed streamflows.</w:t>
      </w:r>
    </w:p>
    <w:p>
      <w:pPr>
        <w:pStyle w:val="MDPI31text"/>
        <w:rPr/>
      </w:pPr>
      <w:r>
        <w:rPr/>
        <w:t>NSE was used as the primary optimization criterion during model tuning, while KGE was employed for complementary evaluation.</w:t>
      </w:r>
    </w:p>
    <w:p>
      <w:pPr>
        <w:pStyle w:val="MDPI31text"/>
        <w:rPr/>
      </w:pPr>
      <w:r>
        <w:rPr/>
      </w:r>
    </w:p>
    <w:p>
      <w:pPr>
        <w:pStyle w:val="MDPI31text"/>
        <w:rPr>
          <w:i/>
          <w:i/>
          <w:iCs/>
        </w:rPr>
      </w:pPr>
      <w:r>
        <w:rPr>
          <w:i/>
          <w:iCs/>
        </w:rPr>
        <w:t>2.6. Training, Validation, and Temporal Splitting</w:t>
      </w:r>
    </w:p>
    <w:p>
      <w:pPr>
        <w:pStyle w:val="MDPI31text"/>
        <w:rPr/>
      </w:pPr>
      <w:r>
        <w:rPr/>
      </w:r>
    </w:p>
    <w:p>
      <w:pPr>
        <w:pStyle w:val="MDPI31text"/>
        <w:rPr>
          <w:highlight w:val="yellow"/>
        </w:rPr>
      </w:pPr>
      <w:r>
        <w:rPr/>
        <w:t xml:space="preserve">To respect the temporal structure of the data and avoid information leakage, a time-based splitting strategy was adopted. </w:t>
      </w:r>
      <w:r>
        <w:rPr>
          <w:highlight w:val="yellow"/>
        </w:rPr>
        <w:t>The dataset was divided into training (1961–2010) and testing (2011–2020) periods.</w:t>
      </w:r>
    </w:p>
    <w:p>
      <w:pPr>
        <w:pStyle w:val="MDPI31text"/>
        <w:rPr/>
      </w:pPr>
      <w:r>
        <w:rPr>
          <w:highlight w:val="yellow"/>
        </w:rPr>
        <w:t>During the training period, rolling-origin cross-validation was performed using a time-series split with 5 folds. In this setup, validation sets always occur chronologically after the corresponding training subsets</w:t>
      </w:r>
      <w:r>
        <w:rPr/>
        <w:t>.</w:t>
      </w:r>
    </w:p>
    <w:p>
      <w:pPr>
        <w:pStyle w:val="MDPI31text"/>
        <w:ind w:left="0" w:hanging="0"/>
        <w:rPr/>
      </w:pPr>
      <w:r>
        <w:rPr/>
      </w:r>
    </w:p>
    <w:p>
      <w:pPr>
        <w:pStyle w:val="MDPI31text"/>
        <w:rPr>
          <w:i/>
          <w:i/>
          <w:iCs/>
        </w:rPr>
      </w:pPr>
      <w:r>
        <w:rPr>
          <w:i/>
          <w:iCs/>
        </w:rPr>
        <w:t>2.7. Hyperparameter Tuning of XGBoost, RF, and LSTM</w:t>
      </w:r>
    </w:p>
    <w:p>
      <w:pPr>
        <w:pStyle w:val="MDPI31text"/>
        <w:rPr/>
      </w:pPr>
      <w:r>
        <w:rPr/>
      </w:r>
    </w:p>
    <w:p>
      <w:pPr>
        <w:pStyle w:val="MDPI31text"/>
        <w:rPr>
          <w:lang w:val="en-GB"/>
        </w:rPr>
      </w:pPr>
      <w:r>
        <w:rPr>
          <w:highlight w:val="yellow"/>
          <w:lang w:val="en-GB"/>
        </w:rPr>
        <w:t>The hyperparameters of all three models were optimized using a grid search strategy coupled with time-series cross-validation applied to the training dataset, ensuring that temporal dependencies were preserved during model calibration. For the XGBoost model, the tuning process explored combinations of the number of trees, maximum tree depth, learning rate, subsampling ratio, and column subsampling ratio. For each predefined hyperparameter configuration, model performance was evaluated using the mean Nash–Sutcliffe Efficiency (NSE) across five cross-validation folds, and the configuration yielding the highest mean NSE was selected as optimal. An analogous procedure was employed for the Random Forest (RF) and Long Short-Term Memory (LSTM) models, with hyperparameter spaces tailored to their respective architectures. The optimal hyperparameters identified through this procedure were as follows: for RF, a maximum tree depth of 30, square-root feature sampling, minimum samples per leaf of 1, minimum samples for splitting of 2, and 2000 trees; for XGBoost, a column subsampling ratio of 0.8, learning rate of 0.05, maximum tree depth of 4, 600 estimators, and a subsampling ratio of 0.7; and for LSTM, 64 hidden units, a learning rate of 0.001, a batch size of 16, and 200 training epochs.</w:t>
      </w:r>
    </w:p>
    <w:p>
      <w:pPr>
        <w:pStyle w:val="MDPI31text"/>
        <w:rPr/>
      </w:pPr>
      <w:r>
        <w:rPr/>
      </w:r>
    </w:p>
    <w:p>
      <w:pPr>
        <w:pStyle w:val="MDPI31text"/>
        <w:rPr>
          <w:i/>
          <w:i/>
          <w:iCs/>
        </w:rPr>
      </w:pPr>
      <w:r>
        <w:rPr>
          <w:i/>
          <w:iCs/>
        </w:rPr>
        <w:t>2.8. One-Step-Ahead Forecasting and Bias Correction</w:t>
      </w:r>
    </w:p>
    <w:p>
      <w:pPr>
        <w:pStyle w:val="MDPI31text"/>
        <w:rPr/>
      </w:pPr>
      <w:r>
        <w:rPr/>
      </w:r>
    </w:p>
    <w:p>
      <w:pPr>
        <w:pStyle w:val="MDPI31text"/>
        <w:rPr/>
      </w:pPr>
      <w:r>
        <w:rPr/>
        <w:t>Using the optimized model, one-step-ahead forecasts were generated for the testing period. To re-duce systematic bias, a linear scaling correction was applied. A linear regression model was fitted between predicted and observed streamflow values on the training set:</w:t>
      </w:r>
    </w:p>
    <w:p>
      <w:pPr>
        <w:pStyle w:val="MDPI31text"/>
        <w:jc w:val="center"/>
        <w:rPr/>
      </w:pPr>
      <w:r>
        <w:rPr/>
        <w:drawing>
          <wp:inline distT="0" distB="0" distL="0" distR="0">
            <wp:extent cx="1304925" cy="209550"/>
            <wp:effectExtent l="0" t="0" r="0" b="0"/>
            <wp:docPr id="10"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descr=""/>
                    <pic:cNvPicPr>
                      <a:picLocks noChangeAspect="1" noChangeArrowheads="1"/>
                    </pic:cNvPicPr>
                  </pic:nvPicPr>
                  <pic:blipFill>
                    <a:blip r:embed="rId17"/>
                    <a:stretch>
                      <a:fillRect/>
                    </a:stretch>
                  </pic:blipFill>
                  <pic:spPr bwMode="auto">
                    <a:xfrm>
                      <a:off x="0" y="0"/>
                      <a:ext cx="1304925" cy="209550"/>
                    </a:xfrm>
                    <a:prstGeom prst="rect">
                      <a:avLst/>
                    </a:prstGeom>
                  </pic:spPr>
                </pic:pic>
              </a:graphicData>
            </a:graphic>
          </wp:inline>
        </w:drawing>
      </w:r>
    </w:p>
    <w:p>
      <w:pPr>
        <w:pStyle w:val="MDPI31text"/>
        <w:rPr/>
      </w:pPr>
      <w:r>
        <w:rPr/>
        <w:t xml:space="preserve"> </w:t>
      </w:r>
      <w:r>
        <w:rPr/>
        <w:t xml:space="preserve">where </w:t>
      </w:r>
      <w:r>
        <w:rPr/>
        <w:drawing>
          <wp:inline distT="0" distB="0" distL="0" distR="0">
            <wp:extent cx="76200" cy="200025"/>
            <wp:effectExtent l="0" t="0" r="0" b="0"/>
            <wp:docPr id="11"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descr=""/>
                    <pic:cNvPicPr>
                      <a:picLocks noChangeAspect="1" noChangeArrowheads="1"/>
                    </pic:cNvPicPr>
                  </pic:nvPicPr>
                  <pic:blipFill>
                    <a:blip r:embed="rId18"/>
                    <a:stretch>
                      <a:fillRect/>
                    </a:stretch>
                  </pic:blipFill>
                  <pic:spPr bwMode="auto">
                    <a:xfrm>
                      <a:off x="0" y="0"/>
                      <a:ext cx="76200" cy="200025"/>
                    </a:xfrm>
                    <a:prstGeom prst="rect">
                      <a:avLst/>
                    </a:prstGeom>
                  </pic:spPr>
                </pic:pic>
              </a:graphicData>
            </a:graphic>
          </wp:inline>
        </w:drawing>
      </w:r>
      <w:r>
        <w:rPr/>
        <w:t xml:space="preserve"> and </w:t>
      </w:r>
      <w:r>
        <w:rPr/>
        <w:drawing>
          <wp:inline distT="0" distB="0" distL="0" distR="0">
            <wp:extent cx="76200" cy="200025"/>
            <wp:effectExtent l="0" t="0" r="0" b="0"/>
            <wp:docPr id="12"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
                    <pic:cNvPicPr>
                      <a:picLocks noChangeAspect="1" noChangeArrowheads="1"/>
                    </pic:cNvPicPr>
                  </pic:nvPicPr>
                  <pic:blipFill>
                    <a:blip r:embed="rId19"/>
                    <a:stretch>
                      <a:fillRect/>
                    </a:stretch>
                  </pic:blipFill>
                  <pic:spPr bwMode="auto">
                    <a:xfrm>
                      <a:off x="0" y="0"/>
                      <a:ext cx="76200" cy="200025"/>
                    </a:xfrm>
                    <a:prstGeom prst="rect">
                      <a:avLst/>
                    </a:prstGeom>
                  </pic:spPr>
                </pic:pic>
              </a:graphicData>
            </a:graphic>
          </wp:inline>
        </w:drawing>
      </w:r>
      <w:r>
        <w:rPr/>
        <w:t xml:space="preserve"> are regression coefficients estimated from the training data.</w:t>
      </w:r>
    </w:p>
    <w:p>
      <w:pPr>
        <w:pStyle w:val="MDPI31text"/>
        <w:rPr/>
      </w:pPr>
      <w:r>
        <w:rPr/>
        <w:t>The derived correction was subsequently applied to test-period predictions, preserving temporal dynamics while improving distributional consistency. The complete modelling workflow is presented in Figure 2.</w:t>
      </w:r>
    </w:p>
    <w:p>
      <w:pPr>
        <w:pStyle w:val="MDPI31text"/>
        <w:rPr/>
      </w:pPr>
      <w:r>
        <w:rPr/>
      </w:r>
    </w:p>
    <w:p>
      <w:pPr>
        <w:pStyle w:val="MDPI31text"/>
        <w:ind w:left="0" w:firstLine="425"/>
        <w:rPr/>
      </w:pPr>
      <w:r>
        <w:rPr/>
        <w:drawing>
          <wp:inline distT="0" distB="0" distL="0" distR="0" wp14:anchorId="29A562E0">
            <wp:extent cx="6372225" cy="791845"/>
            <wp:effectExtent l="0" t="57150" r="0" b="27305"/>
            <wp:docPr id="13" name="Diagram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pPr>
        <w:pStyle w:val="MDPI31text"/>
        <w:ind w:left="0" w:firstLine="425"/>
        <w:rPr/>
      </w:pPr>
      <w:r>
        <w:rPr>
          <w:b/>
          <w:bCs/>
          <w:highlight w:val="yellow"/>
        </w:rPr>
        <w:t>Figure 2.</w:t>
      </w:r>
      <w:r>
        <w:rPr>
          <w:highlight w:val="yellow"/>
        </w:rPr>
        <w:t xml:space="preserve"> Summary of the Computational Workflow</w:t>
      </w:r>
    </w:p>
    <w:p>
      <w:pPr>
        <w:pStyle w:val="MDPI21heading1"/>
        <w:rPr/>
      </w:pPr>
      <w:r>
        <w:rPr/>
        <w:t>3. Results</w:t>
      </w:r>
    </w:p>
    <w:p>
      <w:pPr>
        <w:pStyle w:val="MDPI31text"/>
        <w:rPr/>
      </w:pPr>
      <w:r>
        <w:rPr/>
        <w:t>The performance metrics in Table 1 reveal notable differences in both fitting capacity and generalisation ability across the evaluated models. XGBoost achieves near-perfect accuracy on the training dataset (NSE = 0.999, KGE = 0.993), indicating a strong ability to capture nonlinear relationships between hydro-meteorological predictors and streamflows. However, this excellent training performance does not fully carry over to the testing period, where NSE and KGE drop to approximately 0.59 (Table 1). The substantial gap between training and testing accuracy suggests that XGBoost may partially overfit the historical training data, despite the use of time-series cross-validation and regularisation parameters.</w:t>
      </w:r>
    </w:p>
    <w:p>
      <w:pPr>
        <w:pStyle w:val="MDPI31text"/>
        <w:rPr/>
      </w:pPr>
      <w:r>
        <w:rPr/>
        <w:t>Random Forest shows slightly lower training accuracy (NSE = 0.964, KGE = 0.884) than XGBoost but achieves nearly identical performance on the testing dataset (NSE = 0.591, KGE = 0.591) (Table 1). This suggests a more balanced bias–variance trade-off and indicates that Random Forest generalises marginally better to unseen data. The similarity in test performance between Random Forest and XGBoost implies that, for the given feature set and temporal resolution, increased model complexity does not provide substantial gains in predictive skill. The LSTM model performs worst among the evaluated approaches. Training accuracy is moderate (NSE = 0.443), and testing performance remains limited (NSE = 0.445), suggesting the model struggles to learn streamflow dynamics (Table 1). Several factors may contribute to this outcome. First, the dataset consists of monthly-aggregated observations, which may not provide sufficient temporal resolution for LSTM models to exploit long-range dependencies. Second, the relatively small number of training samples compared to the high parameterisation of LSTM networks may hinder stable learning. Finally, the use of a single-step input structure with engineered lag features may reduce the advantage of sequence-based deep learning compared to tree-based methods.</w:t>
      </w:r>
    </w:p>
    <w:p>
      <w:pPr>
        <w:pStyle w:val="MDPI31text"/>
        <w:rPr/>
      </w:pPr>
      <w:r>
        <w:rPr/>
      </w:r>
    </w:p>
    <w:p>
      <w:pPr>
        <w:pStyle w:val="MDPI31text"/>
        <w:ind w:left="2608" w:hanging="0"/>
        <w:jc w:val="left"/>
        <w:rPr/>
      </w:pPr>
      <w:r>
        <w:rPr>
          <w:b/>
          <w:bCs/>
        </w:rPr>
        <w:t>Table 1</w:t>
      </w:r>
      <w:r>
        <w:rPr/>
        <w:t>. Performance comparison of the evaluated models on training and testing data. RMSE and MAE are expressed in streamflow units, while NSE and KGE are dimensionless.</w:t>
      </w:r>
    </w:p>
    <w:tbl>
      <w:tblPr>
        <w:tblW w:w="602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9"/>
        <w:gridCol w:w="1034"/>
        <w:gridCol w:w="911"/>
        <w:gridCol w:w="875"/>
        <w:gridCol w:w="757"/>
        <w:gridCol w:w="755"/>
      </w:tblGrid>
      <w:tr>
        <w:trPr>
          <w:tblHeader w:val="true"/>
        </w:trPr>
        <w:tc>
          <w:tcPr>
            <w:tcW w:w="1689"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Model</w:t>
            </w:r>
          </w:p>
        </w:tc>
        <w:tc>
          <w:tcPr>
            <w:tcW w:w="1034"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Dataset</w:t>
            </w:r>
          </w:p>
        </w:tc>
        <w:tc>
          <w:tcPr>
            <w:tcW w:w="911"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RMSE</w:t>
            </w:r>
          </w:p>
        </w:tc>
        <w:tc>
          <w:tcPr>
            <w:tcW w:w="875"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MAE</w:t>
            </w:r>
          </w:p>
        </w:tc>
        <w:tc>
          <w:tcPr>
            <w:tcW w:w="757"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NSE</w:t>
            </w:r>
          </w:p>
        </w:tc>
        <w:tc>
          <w:tcPr>
            <w:tcW w:w="755"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KGE</w:t>
            </w:r>
          </w:p>
        </w:tc>
      </w:tr>
      <w:tr>
        <w:trPr/>
        <w:tc>
          <w:tcPr>
            <w:tcW w:w="1689" w:type="dxa"/>
            <w:vMerge w:val="restart"/>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XGBoost</w:t>
            </w:r>
          </w:p>
        </w:tc>
        <w:tc>
          <w:tcPr>
            <w:tcW w:w="1034"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2.920</w:t>
            </w:r>
          </w:p>
        </w:tc>
        <w:tc>
          <w:tcPr>
            <w:tcW w:w="875"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2.208</w:t>
            </w:r>
          </w:p>
        </w:tc>
        <w:tc>
          <w:tcPr>
            <w:tcW w:w="757"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b/>
                <w:bCs/>
              </w:rPr>
              <w:t>0.999</w:t>
            </w:r>
          </w:p>
        </w:tc>
        <w:tc>
          <w:tcPr>
            <w:tcW w:w="755"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b/>
                <w:bCs/>
              </w:rPr>
              <w:t>0.993</w:t>
            </w:r>
          </w:p>
        </w:tc>
      </w:tr>
      <w:tr>
        <w:trPr/>
        <w:tc>
          <w:tcPr>
            <w:tcW w:w="1689" w:type="dxa"/>
            <w:vMerge w:val="continue"/>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64.680</w:t>
            </w:r>
          </w:p>
        </w:tc>
        <w:tc>
          <w:tcPr>
            <w:tcW w:w="875" w:type="dxa"/>
            <w:tcBorders/>
          </w:tcPr>
          <w:p>
            <w:pPr>
              <w:pStyle w:val="Normal"/>
              <w:widowControl w:val="false"/>
              <w:spacing w:lineRule="auto" w:line="240"/>
              <w:rPr>
                <w:rFonts w:ascii="Times New Roman" w:hAnsi="Times New Roman"/>
              </w:rPr>
            </w:pPr>
            <w:r>
              <w:rPr>
                <w:rFonts w:ascii="Times New Roman" w:hAnsi="Times New Roman"/>
              </w:rPr>
              <w:t>48.029</w:t>
            </w:r>
          </w:p>
        </w:tc>
        <w:tc>
          <w:tcPr>
            <w:tcW w:w="757" w:type="dxa"/>
            <w:tcBorders/>
          </w:tcPr>
          <w:p>
            <w:pPr>
              <w:pStyle w:val="Normal"/>
              <w:widowControl w:val="false"/>
              <w:spacing w:lineRule="auto" w:line="240"/>
              <w:rPr>
                <w:rFonts w:ascii="Times New Roman" w:hAnsi="Times New Roman"/>
              </w:rPr>
            </w:pPr>
            <w:r>
              <w:rPr>
                <w:rFonts w:ascii="Times New Roman" w:hAnsi="Times New Roman"/>
              </w:rPr>
              <w:t>0.589</w:t>
            </w:r>
          </w:p>
        </w:tc>
        <w:tc>
          <w:tcPr>
            <w:tcW w:w="755" w:type="dxa"/>
            <w:tcBorders/>
          </w:tcPr>
          <w:p>
            <w:pPr>
              <w:pStyle w:val="Normal"/>
              <w:widowControl w:val="false"/>
              <w:spacing w:lineRule="auto" w:line="240"/>
              <w:rPr>
                <w:rFonts w:ascii="Times New Roman" w:hAnsi="Times New Roman"/>
              </w:rPr>
            </w:pPr>
            <w:r>
              <w:rPr>
                <w:rFonts w:ascii="Times New Roman" w:hAnsi="Times New Roman"/>
              </w:rPr>
              <w:t>0.589</w:t>
            </w:r>
          </w:p>
        </w:tc>
      </w:tr>
      <w:tr>
        <w:trPr/>
        <w:tc>
          <w:tcPr>
            <w:tcW w:w="1689" w:type="dxa"/>
            <w:vMerge w:val="restart"/>
            <w:tcBorders/>
          </w:tcPr>
          <w:p>
            <w:pPr>
              <w:pStyle w:val="Normal"/>
              <w:widowControl w:val="false"/>
              <w:spacing w:lineRule="auto" w:line="240"/>
              <w:rPr>
                <w:rFonts w:ascii="Times New Roman" w:hAnsi="Times New Roman"/>
              </w:rPr>
            </w:pPr>
            <w:r>
              <w:rPr>
                <w:rFonts w:ascii="Times New Roman" w:hAnsi="Times New Roman"/>
              </w:rPr>
              <w:t>Random Forest</w:t>
            </w:r>
          </w:p>
        </w:tc>
        <w:tc>
          <w:tcPr>
            <w:tcW w:w="1034" w:type="dxa"/>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20.769</w:t>
            </w:r>
          </w:p>
        </w:tc>
        <w:tc>
          <w:tcPr>
            <w:tcW w:w="875" w:type="dxa"/>
            <w:tcBorders/>
          </w:tcPr>
          <w:p>
            <w:pPr>
              <w:pStyle w:val="Normal"/>
              <w:widowControl w:val="false"/>
              <w:spacing w:lineRule="auto" w:line="240"/>
              <w:rPr>
                <w:rFonts w:ascii="Times New Roman" w:hAnsi="Times New Roman"/>
              </w:rPr>
            </w:pPr>
            <w:r>
              <w:rPr>
                <w:rFonts w:ascii="Times New Roman" w:hAnsi="Times New Roman"/>
              </w:rPr>
              <w:t>14.888</w:t>
            </w:r>
          </w:p>
        </w:tc>
        <w:tc>
          <w:tcPr>
            <w:tcW w:w="757" w:type="dxa"/>
            <w:tcBorders/>
          </w:tcPr>
          <w:p>
            <w:pPr>
              <w:pStyle w:val="Normal"/>
              <w:widowControl w:val="false"/>
              <w:spacing w:lineRule="auto" w:line="240"/>
              <w:rPr>
                <w:rFonts w:ascii="Times New Roman" w:hAnsi="Times New Roman"/>
              </w:rPr>
            </w:pPr>
            <w:r>
              <w:rPr>
                <w:rFonts w:ascii="Times New Roman" w:hAnsi="Times New Roman"/>
              </w:rPr>
              <w:t>0.964</w:t>
            </w:r>
          </w:p>
        </w:tc>
        <w:tc>
          <w:tcPr>
            <w:tcW w:w="755" w:type="dxa"/>
            <w:tcBorders/>
          </w:tcPr>
          <w:p>
            <w:pPr>
              <w:pStyle w:val="Normal"/>
              <w:widowControl w:val="false"/>
              <w:spacing w:lineRule="auto" w:line="240"/>
              <w:rPr>
                <w:rFonts w:ascii="Times New Roman" w:hAnsi="Times New Roman"/>
              </w:rPr>
            </w:pPr>
            <w:r>
              <w:rPr>
                <w:rFonts w:ascii="Times New Roman" w:hAnsi="Times New Roman"/>
              </w:rPr>
              <w:t>0.884</w:t>
            </w:r>
          </w:p>
        </w:tc>
      </w:tr>
      <w:tr>
        <w:trPr/>
        <w:tc>
          <w:tcPr>
            <w:tcW w:w="1689" w:type="dxa"/>
            <w:vMerge w:val="continue"/>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64.500</w:t>
            </w:r>
          </w:p>
        </w:tc>
        <w:tc>
          <w:tcPr>
            <w:tcW w:w="875" w:type="dxa"/>
            <w:tcBorders/>
          </w:tcPr>
          <w:p>
            <w:pPr>
              <w:pStyle w:val="Normal"/>
              <w:widowControl w:val="false"/>
              <w:spacing w:lineRule="auto" w:line="240"/>
              <w:rPr>
                <w:rFonts w:ascii="Times New Roman" w:hAnsi="Times New Roman"/>
              </w:rPr>
            </w:pPr>
            <w:r>
              <w:rPr>
                <w:rFonts w:ascii="Times New Roman" w:hAnsi="Times New Roman"/>
              </w:rPr>
              <w:t>47.169</w:t>
            </w:r>
          </w:p>
        </w:tc>
        <w:tc>
          <w:tcPr>
            <w:tcW w:w="757" w:type="dxa"/>
            <w:tcBorders/>
          </w:tcPr>
          <w:p>
            <w:pPr>
              <w:pStyle w:val="Normal"/>
              <w:widowControl w:val="false"/>
              <w:spacing w:lineRule="auto" w:line="240"/>
              <w:rPr>
                <w:rFonts w:ascii="Times New Roman" w:hAnsi="Times New Roman"/>
              </w:rPr>
            </w:pPr>
            <w:r>
              <w:rPr>
                <w:rFonts w:ascii="Times New Roman" w:hAnsi="Times New Roman"/>
                <w:b/>
                <w:bCs/>
              </w:rPr>
              <w:t>0.591</w:t>
            </w:r>
          </w:p>
        </w:tc>
        <w:tc>
          <w:tcPr>
            <w:tcW w:w="755" w:type="dxa"/>
            <w:tcBorders/>
          </w:tcPr>
          <w:p>
            <w:pPr>
              <w:pStyle w:val="Normal"/>
              <w:widowControl w:val="false"/>
              <w:spacing w:lineRule="auto" w:line="240"/>
              <w:rPr>
                <w:rFonts w:ascii="Times New Roman" w:hAnsi="Times New Roman"/>
              </w:rPr>
            </w:pPr>
            <w:r>
              <w:rPr>
                <w:rFonts w:ascii="Times New Roman" w:hAnsi="Times New Roman"/>
                <w:b/>
                <w:bCs/>
              </w:rPr>
              <w:t>0.591</w:t>
            </w:r>
          </w:p>
        </w:tc>
      </w:tr>
      <w:tr>
        <w:trPr/>
        <w:tc>
          <w:tcPr>
            <w:tcW w:w="1689" w:type="dxa"/>
            <w:vMerge w:val="restart"/>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LSTM</w:t>
            </w:r>
          </w:p>
        </w:tc>
        <w:tc>
          <w:tcPr>
            <w:tcW w:w="1034" w:type="dxa"/>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81.581</w:t>
            </w:r>
          </w:p>
        </w:tc>
        <w:tc>
          <w:tcPr>
            <w:tcW w:w="875" w:type="dxa"/>
            <w:tcBorders/>
          </w:tcPr>
          <w:p>
            <w:pPr>
              <w:pStyle w:val="Normal"/>
              <w:widowControl w:val="false"/>
              <w:spacing w:lineRule="auto" w:line="240"/>
              <w:rPr>
                <w:rFonts w:ascii="Times New Roman" w:hAnsi="Times New Roman"/>
              </w:rPr>
            </w:pPr>
            <w:r>
              <w:rPr>
                <w:rFonts w:ascii="Times New Roman" w:hAnsi="Times New Roman"/>
              </w:rPr>
              <w:t>57.432</w:t>
            </w:r>
          </w:p>
        </w:tc>
        <w:tc>
          <w:tcPr>
            <w:tcW w:w="757" w:type="dxa"/>
            <w:tcBorders/>
          </w:tcPr>
          <w:p>
            <w:pPr>
              <w:pStyle w:val="Normal"/>
              <w:widowControl w:val="false"/>
              <w:spacing w:lineRule="auto" w:line="240"/>
              <w:rPr>
                <w:rFonts w:ascii="Times New Roman" w:hAnsi="Times New Roman"/>
              </w:rPr>
            </w:pPr>
            <w:r>
              <w:rPr>
                <w:rFonts w:ascii="Times New Roman" w:hAnsi="Times New Roman"/>
              </w:rPr>
              <w:t>0.443</w:t>
            </w:r>
          </w:p>
        </w:tc>
        <w:tc>
          <w:tcPr>
            <w:tcW w:w="755" w:type="dxa"/>
            <w:tcBorders/>
          </w:tcPr>
          <w:p>
            <w:pPr>
              <w:pStyle w:val="Normal"/>
              <w:widowControl w:val="false"/>
              <w:spacing w:lineRule="auto" w:line="240"/>
              <w:rPr>
                <w:rFonts w:ascii="Times New Roman" w:hAnsi="Times New Roman"/>
              </w:rPr>
            </w:pPr>
            <w:r>
              <w:rPr>
                <w:rFonts w:ascii="Times New Roman" w:hAnsi="Times New Roman"/>
              </w:rPr>
              <w:t>0.382</w:t>
            </w:r>
          </w:p>
        </w:tc>
      </w:tr>
      <w:tr>
        <w:trPr/>
        <w:tc>
          <w:tcPr>
            <w:tcW w:w="1689" w:type="dxa"/>
            <w:vMerge w:val="continue"/>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75.086</w:t>
            </w:r>
          </w:p>
        </w:tc>
        <w:tc>
          <w:tcPr>
            <w:tcW w:w="875"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54.763</w:t>
            </w:r>
          </w:p>
        </w:tc>
        <w:tc>
          <w:tcPr>
            <w:tcW w:w="757"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0.445</w:t>
            </w:r>
          </w:p>
        </w:tc>
        <w:tc>
          <w:tcPr>
            <w:tcW w:w="755"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0.489</w:t>
            </w:r>
          </w:p>
        </w:tc>
      </w:tr>
    </w:tbl>
    <w:p>
      <w:pPr>
        <w:pStyle w:val="MDPI31text"/>
        <w:rPr/>
      </w:pPr>
      <w:r>
        <w:rPr/>
      </w:r>
    </w:p>
    <w:p>
      <w:pPr>
        <w:pStyle w:val="MDPI31text"/>
        <w:rPr/>
      </w:pPr>
      <w:r>
        <w:rPr/>
        <w:t>Overall, the results show that tree-based ensemble models outperform deep learning approaches for monthly streamflow prediction of the Bosna River, given the available data and feature configuration. While XGBoost achieves the highest fitting accuracy, Random Forest offers comparable test performance with greater robustness. The observed performance gap between training and testing across all models highlights the challenge of non-stationarity in long-term hydro-climatic time series, emphasising the importance of careful validation strategies and model selection. These findings suggest that, for long-term monthly streamflow prediction in data-limited settings, well-regularised ensemble methods combined with physically motivated lag features can provide reliable predictive performance without the complexity of deep learning architectures.</w:t>
      </w:r>
    </w:p>
    <w:p>
      <w:pPr>
        <w:pStyle w:val="MDPI31text"/>
        <w:ind w:left="0" w:hanging="0"/>
        <w:jc w:val="center"/>
        <w:rPr/>
      </w:pPr>
      <w:r>
        <w:rPr/>
        <w:drawing>
          <wp:inline distT="0" distB="0" distL="0" distR="0">
            <wp:extent cx="2898775" cy="1454150"/>
            <wp:effectExtent l="0" t="0" r="0" b="0"/>
            <wp:docPr id="14" name="Picture 32"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2" descr="A graph with green and blue lines&#10;&#10;AI-generated content may be incorrect."/>
                    <pic:cNvPicPr>
                      <a:picLocks noChangeAspect="1" noChangeArrowheads="1"/>
                    </pic:cNvPicPr>
                  </pic:nvPicPr>
                  <pic:blipFill>
                    <a:blip r:embed="rId25"/>
                    <a:stretch>
                      <a:fillRect/>
                    </a:stretch>
                  </pic:blipFill>
                  <pic:spPr bwMode="auto">
                    <a:xfrm>
                      <a:off x="0" y="0"/>
                      <a:ext cx="2898775" cy="1454150"/>
                    </a:xfrm>
                    <a:prstGeom prst="rect">
                      <a:avLst/>
                    </a:prstGeom>
                  </pic:spPr>
                </pic:pic>
              </a:graphicData>
            </a:graphic>
          </wp:inline>
        </w:drawing>
      </w:r>
      <w:r>
        <w:rPr/>
        <w:drawing>
          <wp:inline distT="0" distB="0" distL="0" distR="0">
            <wp:extent cx="2926080" cy="1463040"/>
            <wp:effectExtent l="0" t="0" r="0" b="0"/>
            <wp:docPr id="15" name="Picture 31" descr="A graph of a graph showing the difference between a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A graph of a graph showing the difference between a number of different types of data&#10;&#10;AI-generated content may be incorrect."/>
                    <pic:cNvPicPr>
                      <a:picLocks noChangeAspect="1" noChangeArrowheads="1"/>
                    </pic:cNvPicPr>
                  </pic:nvPicPr>
                  <pic:blipFill>
                    <a:blip r:embed="rId26"/>
                    <a:stretch>
                      <a:fillRect/>
                    </a:stretch>
                  </pic:blipFill>
                  <pic:spPr bwMode="auto">
                    <a:xfrm>
                      <a:off x="0" y="0"/>
                      <a:ext cx="2926080" cy="1463040"/>
                    </a:xfrm>
                    <a:prstGeom prst="rect">
                      <a:avLst/>
                    </a:prstGeom>
                  </pic:spPr>
                </pic:pic>
              </a:graphicData>
            </a:graphic>
          </wp:inline>
        </w:drawing>
      </w:r>
      <w:r>
        <w:rPr/>
        <w:drawing>
          <wp:inline distT="0" distB="0" distL="0" distR="0">
            <wp:extent cx="2898775" cy="1454150"/>
            <wp:effectExtent l="0" t="0" r="0" b="0"/>
            <wp:docPr id="16" name="Picture 33"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descr="A graph with green and blue lines&#10;&#10;AI-generated content may be incorrect."/>
                    <pic:cNvPicPr>
                      <a:picLocks noChangeAspect="1" noChangeArrowheads="1"/>
                    </pic:cNvPicPr>
                  </pic:nvPicPr>
                  <pic:blipFill>
                    <a:blip r:embed="rId27"/>
                    <a:stretch>
                      <a:fillRect/>
                    </a:stretch>
                  </pic:blipFill>
                  <pic:spPr bwMode="auto">
                    <a:xfrm>
                      <a:off x="0" y="0"/>
                      <a:ext cx="2898775" cy="1454150"/>
                    </a:xfrm>
                    <a:prstGeom prst="rect">
                      <a:avLst/>
                    </a:prstGeom>
                  </pic:spPr>
                </pic:pic>
              </a:graphicData>
            </a:graphic>
          </wp:inline>
        </w:drawing>
      </w:r>
    </w:p>
    <w:p>
      <w:pPr>
        <w:pStyle w:val="MDPI31text"/>
        <w:ind w:left="2608" w:hanging="0"/>
        <w:rPr>
          <w:iCs/>
        </w:rPr>
      </w:pPr>
      <w:r>
        <w:rPr>
          <w:b/>
          <w:bCs/>
          <w:iCs/>
          <w:highlight w:val="yellow"/>
        </w:rPr>
        <w:t>Figure 3.</w:t>
      </w:r>
      <w:r>
        <w:rPr>
          <w:iCs/>
        </w:rPr>
        <w:t xml:space="preserve"> Observed versus predicted monthly streamflows during the testing period (2011–2020) for the evaluated models: (a) XGBoost, (b) Random Forest, and (c) LSTM. All predictions correspond to one-step-ahead forecasts after linear bias correction.</w:t>
      </w:r>
    </w:p>
    <w:p>
      <w:pPr>
        <w:pStyle w:val="MDPI22heading2"/>
        <w:spacing w:before="240" w:after="60"/>
        <w:rPr/>
      </w:pPr>
      <w:r>
        <w:rPr/>
        <w:t>3.1. Feature Importance and Explainable Artificial Intelligence</w:t>
      </w:r>
    </w:p>
    <w:p>
      <w:pPr>
        <w:pStyle w:val="MDPI22heading2"/>
        <w:spacing w:before="240" w:after="60"/>
        <w:ind w:left="2608" w:firstLine="452"/>
        <w:rPr>
          <w:i w:val="false"/>
          <w:i w:val="false"/>
          <w:iCs/>
        </w:rPr>
      </w:pPr>
      <w:r>
        <w:rPr>
          <w:i w:val="false"/>
          <w:iCs/>
        </w:rPr>
        <w:t>While predictive accuracy is essential, understanding the contribution of individual hydro-meteorological predictors is equally important for decision support and scientific insight. To this end, an Explainable Artificial Intelligence (XAI) analysis was conducted to assess the relative importance of input features and their influence on streamflow prediction. Given the heterogeneous nature of the evaluated models, different yet conceptually consistent feature importance approaches were employed. For the tree-based models (XGBoost and Random Forest), feature importance was derived from model-based importance measures, while for the LSTM model a permutation-based approach was adopted to ensure comparability across model classes.</w:t>
      </w:r>
    </w:p>
    <w:p>
      <w:pPr>
        <w:pStyle w:val="MDPI22heading2"/>
        <w:spacing w:before="240" w:after="60"/>
        <w:rPr/>
      </w:pPr>
      <w:r>
        <w:rPr/>
        <w:t>3.2. Permutation-Based Feature Importance</w:t>
      </w:r>
    </w:p>
    <w:p>
      <w:pPr>
        <w:pStyle w:val="MDPI22heading2"/>
        <w:spacing w:before="240" w:after="60"/>
        <w:ind w:left="2608" w:firstLine="452"/>
        <w:rPr>
          <w:i w:val="false"/>
          <w:i w:val="false"/>
          <w:iCs/>
        </w:rPr>
      </w:pPr>
      <w:r>
        <w:rPr>
          <w:i w:val="false"/>
          <w:iCs/>
        </w:rPr>
        <w:t xml:space="preserve">Permutation importance quantifies the contribution of a feature by measuring the decrease in model performance when the feature’s values are randomly permuted. Let </w:t>
      </w:r>
      <w:r>
        <w:rPr/>
        <w:drawing>
          <wp:inline distT="0" distB="0" distL="0" distR="0">
            <wp:extent cx="76200" cy="200025"/>
            <wp:effectExtent l="0" t="0" r="0" b="0"/>
            <wp:docPr id="17"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9" descr=""/>
                    <pic:cNvPicPr>
                      <a:picLocks noChangeAspect="1" noChangeArrowheads="1"/>
                    </pic:cNvPicPr>
                  </pic:nvPicPr>
                  <pic:blipFill>
                    <a:blip r:embed="rId28"/>
                    <a:stretch>
                      <a:fillRect/>
                    </a:stretch>
                  </pic:blipFill>
                  <pic:spPr bwMode="auto">
                    <a:xfrm>
                      <a:off x="0" y="0"/>
                      <a:ext cx="76200" cy="200025"/>
                    </a:xfrm>
                    <a:prstGeom prst="rect">
                      <a:avLst/>
                    </a:prstGeom>
                  </pic:spPr>
                </pic:pic>
              </a:graphicData>
            </a:graphic>
          </wp:inline>
        </w:drawing>
      </w:r>
      <w:r>
        <w:rPr>
          <w:i w:val="false"/>
          <w:iCs/>
        </w:rPr>
        <w:t xml:space="preserve"> denote a trained model and </w:t>
      </w:r>
      <w:r>
        <w:rPr/>
        <w:drawing>
          <wp:inline distT="0" distB="0" distL="0" distR="0">
            <wp:extent cx="409575" cy="200025"/>
            <wp:effectExtent l="0" t="0" r="0" b="0"/>
            <wp:docPr id="18"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0" descr=""/>
                    <pic:cNvPicPr>
                      <a:picLocks noChangeAspect="1" noChangeArrowheads="1"/>
                    </pic:cNvPicPr>
                  </pic:nvPicPr>
                  <pic:blipFill>
                    <a:blip r:embed="rId29"/>
                    <a:stretch>
                      <a:fillRect/>
                    </a:stretch>
                  </pic:blipFill>
                  <pic:spPr bwMode="auto">
                    <a:xfrm>
                      <a:off x="0" y="0"/>
                      <a:ext cx="409575" cy="200025"/>
                    </a:xfrm>
                    <a:prstGeom prst="rect">
                      <a:avLst/>
                    </a:prstGeom>
                  </pic:spPr>
                </pic:pic>
              </a:graphicData>
            </a:graphic>
          </wp:inline>
        </w:drawing>
      </w:r>
      <w:r>
        <w:rPr>
          <w:i w:val="false"/>
          <w:iCs/>
        </w:rPr>
        <w:t xml:space="preserve"> a performance metric, here the Nash–Sutcliffe Efficiency (NSE). The importance of feature </w:t>
      </w:r>
      <w:r>
        <w:rPr/>
        <w:drawing>
          <wp:inline distT="0" distB="0" distL="0" distR="0">
            <wp:extent cx="133350" cy="209550"/>
            <wp:effectExtent l="0" t="0" r="0" b="0"/>
            <wp:docPr id="1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pic:cNvPicPr>
                      <a:picLocks noChangeAspect="1" noChangeArrowheads="1"/>
                    </pic:cNvPicPr>
                  </pic:nvPicPr>
                  <pic:blipFill>
                    <a:blip r:embed="rId30"/>
                    <a:stretch>
                      <a:fillRect/>
                    </a:stretch>
                  </pic:blipFill>
                  <pic:spPr bwMode="auto">
                    <a:xfrm>
                      <a:off x="0" y="0"/>
                      <a:ext cx="133350" cy="209550"/>
                    </a:xfrm>
                    <a:prstGeom prst="rect">
                      <a:avLst/>
                    </a:prstGeom>
                  </pic:spPr>
                </pic:pic>
              </a:graphicData>
            </a:graphic>
          </wp:inline>
        </w:drawing>
      </w:r>
      <w:r>
        <w:rPr>
          <w:i w:val="false"/>
          <w:iCs/>
        </w:rPr>
        <w:t xml:space="preserve"> is computed as:</w:t>
      </w:r>
    </w:p>
    <w:p>
      <w:pPr>
        <w:pStyle w:val="MDPI22heading2"/>
        <w:spacing w:before="240" w:after="60"/>
        <w:jc w:val="center"/>
        <w:rPr>
          <w:i w:val="false"/>
          <w:i w:val="false"/>
          <w:iCs/>
        </w:rPr>
      </w:pPr>
      <w:r>
        <w:rPr/>
        <w:drawing>
          <wp:inline distT="0" distB="0" distL="0" distR="0">
            <wp:extent cx="1857375" cy="209550"/>
            <wp:effectExtent l="0" t="0" r="0" b="0"/>
            <wp:docPr id="2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
                    <pic:cNvPicPr>
                      <a:picLocks noChangeAspect="1" noChangeArrowheads="1"/>
                    </pic:cNvPicPr>
                  </pic:nvPicPr>
                  <pic:blipFill>
                    <a:blip r:embed="rId31"/>
                    <a:stretch>
                      <a:fillRect/>
                    </a:stretch>
                  </pic:blipFill>
                  <pic:spPr bwMode="auto">
                    <a:xfrm>
                      <a:off x="0" y="0"/>
                      <a:ext cx="1857375" cy="209550"/>
                    </a:xfrm>
                    <a:prstGeom prst="rect">
                      <a:avLst/>
                    </a:prstGeom>
                  </pic:spPr>
                </pic:pic>
              </a:graphicData>
            </a:graphic>
          </wp:inline>
        </w:drawing>
      </w:r>
    </w:p>
    <w:p>
      <w:pPr>
        <w:pStyle w:val="MDPI22heading2"/>
        <w:spacing w:before="240" w:after="60"/>
        <w:rPr>
          <w:i w:val="false"/>
          <w:i w:val="false"/>
          <w:iCs/>
        </w:rPr>
      </w:pPr>
      <w:r>
        <w:rPr>
          <w:i w:val="false"/>
          <w:iCs/>
        </w:rPr>
        <w:t xml:space="preserve">where </w:t>
      </w:r>
      <w:r>
        <w:rPr/>
        <w:drawing>
          <wp:inline distT="0" distB="0" distL="0" distR="0">
            <wp:extent cx="314325" cy="209550"/>
            <wp:effectExtent l="0" t="0" r="0" b="0"/>
            <wp:docPr id="2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
                    <pic:cNvPicPr>
                      <a:picLocks noChangeAspect="1" noChangeArrowheads="1"/>
                    </pic:cNvPicPr>
                  </pic:nvPicPr>
                  <pic:blipFill>
                    <a:blip r:embed="rId32"/>
                    <a:stretch>
                      <a:fillRect/>
                    </a:stretch>
                  </pic:blipFill>
                  <pic:spPr bwMode="auto">
                    <a:xfrm>
                      <a:off x="0" y="0"/>
                      <a:ext cx="314325" cy="209550"/>
                    </a:xfrm>
                    <a:prstGeom prst="rect">
                      <a:avLst/>
                    </a:prstGeom>
                  </pic:spPr>
                </pic:pic>
              </a:graphicData>
            </a:graphic>
          </wp:inline>
        </w:drawing>
      </w:r>
      <w:r>
        <w:rPr>
          <w:i w:val="false"/>
          <w:iCs/>
        </w:rPr>
        <w:t xml:space="preserve"> denotes the input matrix with feature </w:t>
      </w:r>
      <w:r>
        <w:rPr/>
        <w:drawing>
          <wp:inline distT="0" distB="0" distL="0" distR="0">
            <wp:extent cx="133350" cy="209550"/>
            <wp:effectExtent l="0" t="0" r="0" b="0"/>
            <wp:docPr id="22"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4" descr=""/>
                    <pic:cNvPicPr>
                      <a:picLocks noChangeAspect="1" noChangeArrowheads="1"/>
                    </pic:cNvPicPr>
                  </pic:nvPicPr>
                  <pic:blipFill>
                    <a:blip r:embed="rId33"/>
                    <a:stretch>
                      <a:fillRect/>
                    </a:stretch>
                  </pic:blipFill>
                  <pic:spPr bwMode="auto">
                    <a:xfrm>
                      <a:off x="0" y="0"/>
                      <a:ext cx="133350" cy="209550"/>
                    </a:xfrm>
                    <a:prstGeom prst="rect">
                      <a:avLst/>
                    </a:prstGeom>
                  </pic:spPr>
                </pic:pic>
              </a:graphicData>
            </a:graphic>
          </wp:inline>
        </w:drawing>
      </w:r>
      <w:r>
        <w:rPr>
          <w:i w:val="false"/>
          <w:iCs/>
        </w:rPr>
        <w:t xml:space="preserve"> permuted across samples.</w:t>
      </w:r>
    </w:p>
    <w:p>
      <w:pPr>
        <w:pStyle w:val="MDPI22heading2"/>
        <w:spacing w:before="240" w:after="60"/>
        <w:rPr>
          <w:i w:val="false"/>
          <w:i w:val="false"/>
          <w:iCs/>
        </w:rPr>
      </w:pPr>
      <w:r>
        <w:rPr>
          <w:i w:val="false"/>
          <w:iCs/>
        </w:rPr>
        <w:t>A larger decrease in NSE indicates a more influential feature. This model-agnostic approach enables consistent interpretation across both tree-based and neural network models and directly reflects the impact of each feature on predictive skill.</w:t>
      </w:r>
    </w:p>
    <w:p>
      <w:pPr>
        <w:pStyle w:val="MDPI22heading2"/>
        <w:spacing w:before="240" w:after="60"/>
        <w:rPr>
          <w:i w:val="false"/>
          <w:i w:val="false"/>
          <w:iCs/>
        </w:rPr>
      </w:pPr>
      <w:r>
        <w:rPr>
          <w:i w:val="false"/>
          <w:iCs/>
        </w:rPr>
      </w:r>
    </w:p>
    <w:p>
      <w:pPr>
        <w:pStyle w:val="MDPI22heading2"/>
        <w:spacing w:before="240" w:after="60"/>
        <w:rPr>
          <w:i w:val="false"/>
          <w:i w:val="false"/>
          <w:iCs/>
        </w:rPr>
      </w:pPr>
      <w:r>
        <w:rPr>
          <w:i w:val="false"/>
          <w:iCs/>
        </w:rPr>
      </w:r>
    </w:p>
    <w:p>
      <w:pPr>
        <w:pStyle w:val="MDPI22heading2"/>
        <w:spacing w:before="240" w:after="60"/>
        <w:rPr>
          <w:i w:val="false"/>
          <w:i w:val="false"/>
          <w:iCs/>
        </w:rPr>
      </w:pPr>
      <w:r>
        <w:rPr>
          <w:i w:val="false"/>
          <w:iCs/>
        </w:rPr>
        <w:t xml:space="preserve">3.2. </w:t>
      </w:r>
      <w:r>
        <w:rPr/>
        <w:t>Dominant Predictors of Streamflows</w:t>
      </w:r>
    </w:p>
    <w:p>
      <w:pPr>
        <w:pStyle w:val="MDPI22heading2"/>
        <w:spacing w:before="240" w:after="60"/>
        <w:ind w:left="2608" w:firstLine="452"/>
        <w:jc w:val="both"/>
        <w:rPr>
          <w:i w:val="false"/>
          <w:i w:val="false"/>
          <w:iCs/>
        </w:rPr>
      </w:pPr>
      <w:r>
        <w:rPr>
          <w:i w:val="false"/>
          <w:iCs/>
        </w:rPr>
        <w:t>The analysis focused on the five most influential features for each model, ranked by their contribution to NSE reduction. Results indicate that lagged precipitation variables consistently dominate model predictions, particularly precipitation from the preceding one to three months. This finding is hydrologically meaningful, reflecting basin-scale storage effects and delayed runoff generation. The autoregressive streamflow term (Qt-1) also emerges as a key predictor, highlighting the strong persistence of monthly river flow and confirming the importance of short-term memory in streamflow dynamics. Temperature-related features show a similarly important influence, especially T_Bjelašnica, which likely captures seasonal snowmelt and evapotranspiration effects, particularly for upstream stations such as Bjelašnica. Notably, feature importance rankings remain broadly consistent across XGBoost and Random Forest, especially for the two most influential features – T_Bjelašnica and the autoregressive Q_lag1—suggesting stable hydro-climatic controls on streamflows. In contrast, the LSTM model displays weaker and less structured importance patterns, consistent with its overall lower predictive performance. The agreement between data-driven feature importance and established hydrological understanding provides confidence in the physical plausibility of the models. The dominance of lagged precipitation and streamflow terms in both reasonably efficient models aligns with conceptual rainfall–runoff processes, while the secondary role of temperature in Bjelašnica reflects its indirect influence at monthly time scales. From an operational perspective, these results demonstrate that explainable machine learning techniques can support transparent and trustworthy streamflow forecasting. By identifying the most influential predictors, the proposed framework enables improved model diagnostics and enhanced interpretability for water resource management and decision-making. Overall, the XAI analysis confirms that the tree-based ensemble models not only achieve higher predictive skill but also produce feature importance patterns consistent with hydrological theory, reinforcing their suitability for long-term monthly streamflow prediction in the BRB. Figure 4 illustrates the relative importance and directional influence of the dominant predictors for each model, highlighting the consistent dominance of lagged precipitation and autoregressive streamflow terms across tree-based ensemble models.</w:t>
      </w:r>
    </w:p>
    <w:p>
      <w:pPr>
        <w:pStyle w:val="MDPI22heading2"/>
        <w:spacing w:before="240" w:after="60"/>
        <w:ind w:left="0" w:hanging="0"/>
        <w:jc w:val="center"/>
        <w:rPr>
          <w:i w:val="false"/>
          <w:i w:val="false"/>
          <w:iCs/>
        </w:rPr>
      </w:pPr>
      <w:r>
        <w:rPr/>
        <w:drawing>
          <wp:inline distT="0" distB="0" distL="0" distR="0">
            <wp:extent cx="2898775" cy="1810385"/>
            <wp:effectExtent l="0" t="0" r="0" b="0"/>
            <wp:docPr id="23" name="Image5"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A graph with red and green squares&#10;&#10;AI-generated content may be incorrect."/>
                    <pic:cNvPicPr>
                      <a:picLocks noChangeAspect="1" noChangeArrowheads="1"/>
                    </pic:cNvPicPr>
                  </pic:nvPicPr>
                  <pic:blipFill>
                    <a:blip r:embed="rId34"/>
                    <a:stretch>
                      <a:fillRect/>
                    </a:stretch>
                  </pic:blipFill>
                  <pic:spPr bwMode="auto">
                    <a:xfrm>
                      <a:off x="0" y="0"/>
                      <a:ext cx="2898775" cy="1810385"/>
                    </a:xfrm>
                    <a:prstGeom prst="rect">
                      <a:avLst/>
                    </a:prstGeom>
                  </pic:spPr>
                </pic:pic>
              </a:graphicData>
            </a:graphic>
          </wp:inline>
        </w:drawing>
      </w:r>
      <w:r>
        <w:rPr/>
        <w:drawing>
          <wp:inline distT="0" distB="0" distL="0" distR="0">
            <wp:extent cx="2898775" cy="1810385"/>
            <wp:effectExtent l="0" t="0" r="0" b="0"/>
            <wp:docPr id="24" name="Picture 35" descr="A green and red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5" descr="A green and red bar graph&#10;&#10;AI-generated content may be incorrect."/>
                    <pic:cNvPicPr>
                      <a:picLocks noChangeAspect="1" noChangeArrowheads="1"/>
                    </pic:cNvPicPr>
                  </pic:nvPicPr>
                  <pic:blipFill>
                    <a:blip r:embed="rId35"/>
                    <a:stretch>
                      <a:fillRect/>
                    </a:stretch>
                  </pic:blipFill>
                  <pic:spPr bwMode="auto">
                    <a:xfrm>
                      <a:off x="0" y="0"/>
                      <a:ext cx="2898775" cy="1810385"/>
                    </a:xfrm>
                    <a:prstGeom prst="rect">
                      <a:avLst/>
                    </a:prstGeom>
                  </pic:spPr>
                </pic:pic>
              </a:graphicData>
            </a:graphic>
          </wp:inline>
        </w:drawing>
      </w:r>
    </w:p>
    <w:p>
      <w:pPr>
        <w:pStyle w:val="MDPI22heading2"/>
        <w:spacing w:before="240" w:after="60"/>
        <w:ind w:left="0" w:hanging="0"/>
        <w:jc w:val="center"/>
        <w:rPr>
          <w:i w:val="false"/>
          <w:i w:val="false"/>
          <w:iCs/>
        </w:rPr>
      </w:pPr>
      <w:r>
        <w:rPr/>
        <w:drawing>
          <wp:inline distT="0" distB="0" distL="0" distR="0">
            <wp:extent cx="2898775" cy="1654810"/>
            <wp:effectExtent l="0" t="0" r="0" b="0"/>
            <wp:docPr id="25" name="Picture 36" descr="A green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6" descr="A green bar graph with white text&#10;&#10;AI-generated content may be incorrect."/>
                    <pic:cNvPicPr>
                      <a:picLocks noChangeAspect="1" noChangeArrowheads="1"/>
                    </pic:cNvPicPr>
                  </pic:nvPicPr>
                  <pic:blipFill>
                    <a:blip r:embed="rId36"/>
                    <a:stretch>
                      <a:fillRect/>
                    </a:stretch>
                  </pic:blipFill>
                  <pic:spPr bwMode="auto">
                    <a:xfrm>
                      <a:off x="0" y="0"/>
                      <a:ext cx="2898775" cy="1654810"/>
                    </a:xfrm>
                    <a:prstGeom prst="rect">
                      <a:avLst/>
                    </a:prstGeom>
                  </pic:spPr>
                </pic:pic>
              </a:graphicData>
            </a:graphic>
          </wp:inline>
        </w:drawing>
      </w:r>
    </w:p>
    <w:p>
      <w:pPr>
        <w:pStyle w:val="Normal"/>
        <w:spacing w:lineRule="auto" w:line="240"/>
        <w:rPr>
          <w:iCs/>
        </w:rPr>
      </w:pPr>
      <w:r>
        <w:rPr>
          <w:b/>
          <w:bCs/>
          <w:iCs/>
          <w:highlight w:val="yellow"/>
        </w:rPr>
        <w:t>Figure 4.</w:t>
      </w:r>
      <w:r>
        <w:rPr>
          <w:iCs/>
        </w:rPr>
        <w:t xml:space="preserve"> Direction and magnitude of the five most influential features identified through explainable artificial intelligence analysis: (a) XGBoost, (b) Random Forest, and (c) LSTM. Bars indicate the decrease in Nash–Sutcliffe Efficiency (NSE) after feature permutation, while color denotes the direction of influence (positive (green) or negative (red) contribution to predicted streamflows).</w:t>
      </w:r>
    </w:p>
    <w:p>
      <w:pPr>
        <w:pStyle w:val="Normal"/>
        <w:spacing w:lineRule="auto" w:line="240"/>
        <w:rPr>
          <w:iCs/>
          <w:sz w:val="21"/>
          <w:szCs w:val="21"/>
        </w:rPr>
      </w:pPr>
      <w:r>
        <w:rPr>
          <w:iCs/>
          <w:sz w:val="21"/>
          <w:szCs w:val="21"/>
        </w:rPr>
      </w:r>
    </w:p>
    <w:p>
      <w:pPr>
        <w:pStyle w:val="MDPI21heading1"/>
        <w:rPr>
          <w:highlight w:val="yellow"/>
        </w:rPr>
      </w:pPr>
      <w:r>
        <w:rPr>
          <w:highlight w:val="yellow"/>
        </w:rPr>
        <w:t>4. Discussion</w:t>
      </w:r>
    </w:p>
    <w:p>
      <w:pPr>
        <w:pStyle w:val="MDPI31text"/>
        <w:rPr>
          <w:highlight w:val="yellow"/>
          <w:lang w:val="en-GB"/>
        </w:rPr>
      </w:pPr>
      <w:r>
        <w:rPr>
          <w:highlight w:val="yellow"/>
          <w:lang w:val="en-GB"/>
        </w:rPr>
        <w:t>The comparative assessment of XGBoost, Random Forest, and LSTM shows that tree-based ensemble methods provide the most accurate and robust one-step-ahead monthly streamflow forecasts for the Bosna River at Doboj, given the available data and model configuration. Both XGBoost and Random Forest achieve similar generalisation skill during the testing period (NSE ≈ 0.59; KGE ≈ 0.59; Table 1), while the LSTM clearly underperforms (NSE ≈ 0.45). In hydrological terms, these NSE values indicate moderate predictive capability at the monthly scale and are comparable to those reported in other data-driven streamflow forecasting studies using limited predictor sets and single-site applications (Mosavi et al., 2018; Shen, 2018). The close agreement between observed and predicted flows for the two ensemble models in Figure 3a–b, particularly in reproducing intra-annual variability and the seasonal regime, further confirms that the dominant hydro-climatic signal is well captured, although residual errors remain evident during high-flow and low-flow extremes.</w:t>
      </w:r>
    </w:p>
    <w:p>
      <w:pPr>
        <w:pStyle w:val="MDPI31text"/>
        <w:rPr>
          <w:highlight w:val="yellow"/>
          <w:lang w:val="en-GB"/>
        </w:rPr>
      </w:pPr>
      <w:r>
        <w:rPr>
          <w:highlight w:val="yellow"/>
          <w:lang w:val="en-GB"/>
        </w:rPr>
        <w:t>The near-perfect fit of XGBoost on the training data (NSE = 0.999; KGE = 0.993), compared with its markedly lower performance during the testing period, reveals a pronounced tendency towards overfitting, even with regularisation and time-series cross-validation. In contrast, Random Forest shows lower training skill (NSE = 0.964; KGE = 0.884) but almost identical test performance to XGBoost, suggesting a more favourable bias–variance trade-off. This pattern aligns with broader experience in hydro-climatic prediction, where highly flexible boosting algorithms can over-specialise in historical idiosyncrasies when trained on relatively short or non-stationary records (Shen, 2018; Nearing et al., 2021; Kumar et al., 2023; Lin et al., 2024). The long modelling horizon increases the likelihood that climatic and anthropogenic changes have altered runoff generation processes, thereby limiting the transferability of complex models tuned on earlier decades to more recent conditions (Blöschl et al., 2019). The similar out-of-sample performance of XGBoost and Random Forest indicates that, for this monthly forecasting problem and given the chosen feature set, increasing model complexity beyond bagging-based ensembles yields negligible gains in predictive skill.</w:t>
      </w:r>
    </w:p>
    <w:p>
      <w:pPr>
        <w:pStyle w:val="MDPI31text"/>
        <w:rPr>
          <w:highlight w:val="yellow"/>
          <w:lang w:val="en-GB"/>
        </w:rPr>
      </w:pPr>
      <w:r>
        <w:rPr>
          <w:highlight w:val="yellow"/>
          <w:lang w:val="en-GB"/>
        </w:rPr>
        <w:t>In contrast, the LSTM model struggles to learn streamflow dynamics effectively (training NSE = 0.443; testing NSE = 0.445), and its predictions show greater dispersion around the 1:1 line and weaker reproduction of peaks and troughs in Figure 3c. This appears to contradict recent studies in which LSTM networks substantially outperform traditional models in daily rainfall–runoff and streamflow forecasting when large, information-rich datasets are available (Kratzert et al., 2018; Feng et al., 2020; Kumshe et al., 2024). Several factors likely contribute to this discrepancy. First, using monthly aggregated data strongly smooths short-term dynamics and reduces the need to model long-range temporal dependencies, which are the main strength of recurrent architectures (Cheng et al., 2020). Second, the number of effective training samples (~600 months) is small relative to the parameterisation of even a moderately sized LSTM, increasing the risk of under-training or convergence to sub-optimal solutions (Shen, 2018). Third, the input representation already encodes temporal information via lagged predictors and an autoregressive Q term, which partly diminishes the comparative advantage of sequence-based learning. Together, these constraints imply that, in data-limited, monthly-resolution settings, tree-based ensembles remain a more reliable choice than deep learning, a conclusion aligned with recent critical assessments of ML model selection in hydrology (Mosavi et al., 2018; Nearing et al., 2021; Rose et al., 2023).</w:t>
      </w:r>
    </w:p>
    <w:p>
      <w:pPr>
        <w:pStyle w:val="MDPI31text"/>
        <w:rPr>
          <w:highlight w:val="yellow"/>
          <w:lang w:val="en-GB"/>
        </w:rPr>
      </w:pPr>
      <w:r>
        <w:rPr>
          <w:highlight w:val="yellow"/>
          <w:lang w:val="en-GB"/>
        </w:rPr>
        <w:t>The explainable AI analysis provides an important consistency check between data-driven learning and hydrological process understanding. Permutation-based feature importance (Figure 4) shows that lagged precipitation is the dominant predictor class across the better-performing models, particularly rainfall in the preceding one to three months (Schmidt et al., 2020; Li, et al., 2021). This is hydrologically plausible for a medium-sized basin with significant storage in soils, shallow groundwater, and the river network, where monthly flows reflect the integration of recent precipitation rather than only contemporaneous inputs (Feng et al., 2020; Cheng et al., 2020). The strong role of the autoregressive streamflow term (Qlag1) corroborates the pronounced persistence of monthly discharge, representing baseflow and slow-release components of catchment storage. The secondary but non-negligible importance of temperature, especially at the high-elevation Bjelašnica station, indicates that snow accumulation, melt processes and temperature-dependent evapotranspiration modulate the seasonal hydrograph, consistent with established conceptual models and with ML-based analyses in other snow-affected basins (Feng et al., 2020; Kratzert et al., 2018). The similarity in feature rankings between XGBoost and Random Forest suggests that the inferred hydro-climatic controls are robust across ensemble algorithms.</w:t>
      </w:r>
    </w:p>
    <w:p>
      <w:pPr>
        <w:pStyle w:val="MDPI31text"/>
        <w:rPr>
          <w:highlight w:val="yellow"/>
          <w:lang w:val="en-GB"/>
        </w:rPr>
      </w:pPr>
      <w:r>
        <w:rPr>
          <w:highlight w:val="yellow"/>
          <w:lang w:val="en-GB"/>
        </w:rPr>
        <w:t>In contrast, the LSTM shows weaker and less structured importance patterns, reflecting its poorer predictive performance and suggesting it did not converge on a clear hydrological representation of the system. This finding highlights the value of XAI tools not only for post hoc interpretation but also for model diagnostics and selection: models that do not produce physically interpretable feature importance patterns, even when achieving modest skill, should be treated with caution in operational contexts (Nearing et al., 2021). In this study, the alignment between hydrological expectations and XAI-based rankings for the ensemble models supports their use as transparent decision-support tools.</w:t>
      </w:r>
    </w:p>
    <w:p>
      <w:pPr>
        <w:pStyle w:val="MDPI31text"/>
        <w:rPr>
          <w:highlight w:val="yellow"/>
          <w:lang w:val="en-GB"/>
        </w:rPr>
      </w:pPr>
      <w:r>
        <w:rPr>
          <w:highlight w:val="yellow"/>
          <w:lang w:val="en-GB"/>
        </w:rPr>
        <w:t>From an operational perspective, an NSE of around 0.6 at monthly resolution is sufficient for various water management applications, including seasonal allocation planning, reservoir rule-curve support, and drought early warning, particularly in data-scarce contexts. For watershed</w:t>
        <w:noBreakHyphen/>
        <w:t>scale models, monthly streamflow performance is often judged satisfactory when NSE ≥ 0.50 (Lin et al., 2024; Knoben et al., 2019). However, inspection of Figure 3 shows that both XGBoost and Random Forest tend to underestimate extremely high flows and occasionally misrepresent sustained low-flow periods, a behaviour frequently documented for data-driven models trained on error metrics dominated by moderate flows (Mosavi et al., 2018). Improving the representation of hydrological extremes in the Bosna River Basin may require either multi-objective training focused on high- and low-flow performance, incorporation of additional predictors such as snow indices, soil moisture, or large-scale climate indices, or hybrid approaches that blend data-driven models with process-based constraints (Shen, 2018; Nearing et al., 2021).</w:t>
      </w:r>
    </w:p>
    <w:p>
      <w:pPr>
        <w:pStyle w:val="MDPI31text"/>
        <w:rPr>
          <w:highlight w:val="yellow"/>
          <w:lang w:val="en-GB"/>
        </w:rPr>
      </w:pPr>
      <w:bookmarkStart w:id="1" w:name="_Hlk221537547"/>
      <w:r>
        <w:rPr>
          <w:highlight w:val="yellow"/>
          <w:lang w:val="en-GB"/>
        </w:rPr>
        <w:t>Several structural limitations of this study warrant emphasis. The analysis is limited to a single downstream gauging station, which prevents explicit consideration of spatial heterogeneity within the basin. The predictor set includes only precipitation and air temperature from five stations, along with antecedent discharge, without remote sensing or land-use information that could better capture the non-stationary impacts of human activities. The use of monthly aggregation, although motivated by data availability and long-term coverage, obscures sub-monthly flood processes and may limit applicability to short-lead flood forecasting. Addressing these limitations with higher-temporal-resolution data, multi-site modelling, expanded predictor sets, and experimentation with hybrid or physics-informed machine learning architectures is a promising direction for future work and will be essential for fully leveraging machine learning to support climate-resilient water management in the Bosna River Basin and similar regions.</w:t>
      </w:r>
      <w:bookmarkEnd w:id="1"/>
    </w:p>
    <w:p>
      <w:pPr>
        <w:pStyle w:val="MDPI21heading1"/>
        <w:rPr>
          <w:highlight w:val="yellow"/>
        </w:rPr>
      </w:pPr>
      <w:r>
        <w:rPr>
          <w:highlight w:val="yellow"/>
        </w:rPr>
        <w:t>5. Conclusions</w:t>
      </w:r>
    </w:p>
    <w:p>
      <w:pPr>
        <w:pStyle w:val="MDPI31text"/>
        <w:rPr>
          <w:highlight w:val="yellow"/>
          <w:lang w:val="en-GB"/>
        </w:rPr>
      </w:pPr>
      <w:r>
        <w:rPr>
          <w:highlight w:val="yellow"/>
          <w:lang w:val="en-GB"/>
        </w:rPr>
        <w:t>This study presents the first application of machine learning techniques for streamflow forecasting in Bosnia and Herzegovina, specifically evaluating Random Forest (RF), XGBoost, and Long Short-Term Memory (LSTM) models for mean monthly predictions at the Doboj station in the Bosna River Basin (BRB). The findings highlight the effectiveness of tree-based ensemble methods over deep learning approaches in data-limited, monthly-resolution settings, with XGBoost and RF achieving NSE ≈ 0.59 on the test data, outperforming LSTM's NSE of 0.445. This performance gap demonstrates the robustness of tree-based models to non-stationarity and multicollinearity, whereas LSTMs struggle with aggregated sequences that lack fine-grained temporal details. Bias correction further improved predictions, aligning them with observed hydrographs and reducing systematic underestimation of peaks, as shown in Figure 3. XAI permutation analysis (Figure 4) identified lagged precipitation and autoregressive streamflow as the main drivers, with upstream temperature influencing seasonal dynamics, providing interpretable insights into the BRB's pluvial-nival regime and karstic hydrology.</w:t>
      </w:r>
    </w:p>
    <w:p>
      <w:pPr>
        <w:pStyle w:val="MDPI31text"/>
        <w:rPr>
          <w:lang w:val="en-GB"/>
        </w:rPr>
      </w:pPr>
      <w:r>
        <w:rPr>
          <w:highlight w:val="yellow"/>
          <w:lang w:val="en-GB"/>
        </w:rPr>
        <w:t>These outcomes address a critical gap in the literature by moving from descriptive streamflow studies in the region to advanced, transparent forecasting. The models' ability to generalise, despite training-testing discrepancies, informs resilient water management amid climate-driven changes such as declining precipitation and increased extremes. By identifying key hydrological controls, this framework supports targeted interventions, such as reservoir optimisation in urban-industrial centres (e.g., Sarajevo, Zenica). Broader implications extend to global water resources, demonstrating the potential of machine learning in ungauged or sparsely monitored basins, where traditional physical models require extensive data. Future research should integrate multiple sources (e.g., satellite-derived snow cover) and hybrid physics–machine learning architectures to improve accuracy and reduce uncertainty, fostering sustainable practices worldwide. Ultimately, this work establishes a foundation for interpretable AI in hydrology, promoting equitable decision-making in vulnerable regions such as the BRB.</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S.G. and M.Ð.; methodology, I.L.; software, M.Ð.; validation, S..G, and I.L.; formal analysis, S.G.; investigation, S.G.; resources, S.G.; data curation, M.Ð.; writing—original draft preparation, S.G.; writing—review and editing, S.G.; visualization, S.G.; supervision, I.L.; project administration, S.G.; funding acquisition, I.L. All authors have read and agreed to the published version of the manuscript.” Please turn to the </w:t>
      </w:r>
      <w:hyperlink r:id="rId37">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left"/>
        <w:tblInd w:w="2608" w:type="dxa"/>
        <w:tblLayout w:type="fixed"/>
        <w:tblCellMar>
          <w:top w:w="0" w:type="dxa"/>
          <w:left w:w="0" w:type="dxa"/>
          <w:bottom w:w="0" w:type="dxa"/>
          <w:right w:w="0" w:type="dxa"/>
        </w:tblCellMar>
        <w:tblLook w:val="04a0" w:noHBand="0" w:noVBand="1" w:firstColumn="1" w:lastRow="0" w:lastColumn="0" w:firstRow="1"/>
      </w:tblPr>
      <w:tblGrid>
        <w:gridCol w:w="934"/>
        <w:gridCol w:w="6922"/>
      </w:tblGrid>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BH</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Bosnia and Herzegovina</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BRB</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Bosna River Basin</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ML</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Machine Learning</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XGBoost</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eXtreme Gradient Boosting</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RF</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Random Forest</w:t>
            </w:r>
          </w:p>
        </w:tc>
      </w:tr>
      <w:tr>
        <w:trPr>
          <w:trHeight w:val="69" w:hRule="atLeast"/>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LSTM</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Long Short-Term Memory</w:t>
            </w:r>
          </w:p>
        </w:tc>
      </w:tr>
      <w:tr>
        <w:trPr/>
        <w:tc>
          <w:tcPr>
            <w:tcW w:w="934"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XAI</w:t>
            </w:r>
          </w:p>
        </w:tc>
        <w:tc>
          <w:tcPr>
            <w:tcW w:w="6922" w:type="dxa"/>
            <w:tcBorders>
              <w:top w:val="nil"/>
              <w:left w:val="nil"/>
              <w:bottom w:val="nil"/>
              <w:right w:val="nil"/>
            </w:tcBorders>
            <w:vAlign w:val="center"/>
          </w:tcPr>
          <w:p>
            <w:pPr>
              <w:pStyle w:val="MDPI42tablebody"/>
              <w:widowControl w:val="false"/>
              <w:suppressAutoHyphens w:val="true"/>
              <w:spacing w:lineRule="auto" w:line="240" w:before="0" w:after="0"/>
              <w:jc w:val="left"/>
              <w:rPr>
                <w:sz w:val="18"/>
                <w:szCs w:val="18"/>
              </w:rPr>
            </w:pPr>
            <w:r>
              <w:rPr>
                <w:rFonts w:cs="Times New Roman"/>
                <w:kern w:val="0"/>
                <w:sz w:val="18"/>
                <w:szCs w:val="18"/>
                <w:lang w:val="en-US"/>
              </w:rPr>
              <w:t>Explainable Artificial Intelligence</w:t>
            </w:r>
          </w:p>
        </w:tc>
      </w:tr>
    </w:tbl>
    <w:p>
      <w:pPr>
        <w:pStyle w:val="MDPI32textnoindent"/>
        <w:spacing w:before="0" w:after="240"/>
        <w:rPr>
          <w:sz w:val="18"/>
          <w:szCs w:val="18"/>
        </w:rPr>
      </w:pPr>
      <w:r>
        <w:rPr>
          <w:sz w:val="18"/>
          <w:szCs w:val="18"/>
        </w:rPr>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left"/>
        <w:rPr/>
      </w:pPr>
      <w:r>
        <w:rPr>
          <w:b/>
          <w:bCs/>
        </w:rPr>
        <w:t xml:space="preserve">Table A1. </w:t>
      </w:r>
      <w:r>
        <w:rPr/>
        <w:t>This is a table caption.</w:t>
      </w:r>
    </w:p>
    <w:tbl>
      <w:tblPr>
        <w:tblW w:w="7857" w:type="dxa"/>
        <w:jc w:val="left"/>
        <w:tblInd w:w="2608" w:type="dxa"/>
        <w:tblLayout w:type="fixed"/>
        <w:tblCellMar>
          <w:top w:w="0" w:type="dxa"/>
          <w:left w:w="0" w:type="dxa"/>
          <w:bottom w:w="0" w:type="dxa"/>
          <w:right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2" w:name="_Hlk181004646"/>
            <w:r>
              <w:rPr/>
              <w:t>data</w:t>
            </w:r>
            <w:bookmarkEnd w:id="2"/>
          </w:p>
        </w:tc>
      </w:tr>
    </w:tbl>
    <w:p>
      <w:pPr>
        <w:pStyle w:val="Normal"/>
        <w:spacing w:lineRule="auto" w:line="240"/>
        <w:jc w:val="left"/>
        <w:rPr>
          <w:rFonts w:eastAsia="Times New Roman"/>
          <w:b/>
          <w:b/>
          <w:sz w:val="24"/>
          <w:szCs w:val="22"/>
          <w:lang w:eastAsia="de-DE" w:bidi="en-US"/>
        </w:rPr>
      </w:pPr>
      <w:r>
        <w:rPr>
          <w:rFonts w:eastAsia="Times New Roman"/>
          <w:b/>
          <w:sz w:val="24"/>
          <w:szCs w:val="22"/>
          <w:lang w:eastAsia="de-DE" w:bidi="en-US"/>
        </w:rPr>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left="0" w:hanging="0"/>
        <w:rPr/>
      </w:pPr>
      <w:r>
        <w:rPr/>
        <w:t>References</w:t>
      </w:r>
    </w:p>
    <w:p>
      <w:pPr>
        <w:pStyle w:val="MDPI81references"/>
        <w:numPr>
          <w:ilvl w:val="0"/>
          <w:numId w:val="9"/>
        </w:numPr>
        <w:ind w:left="425" w:hanging="425"/>
        <w:rPr/>
      </w:pPr>
      <w:r>
        <w:rPr/>
        <w:t>Kenyi, M.G.S.; Yamamoto, K. A hybrid SARIMA-Prophet model for predicting historical streamflow time-series of the Sobat River in South Sudan</w:t>
      </w:r>
      <w:r>
        <w:rPr>
          <w:i/>
          <w:iCs/>
        </w:rPr>
        <w:t>. Discov. appl. sci</w:t>
      </w:r>
      <w:r>
        <w:rPr/>
        <w:t xml:space="preserve">. </w:t>
      </w:r>
      <w:r>
        <w:rPr>
          <w:b/>
          <w:bCs/>
        </w:rPr>
        <w:t>2024</w:t>
      </w:r>
      <w:r>
        <w:rPr/>
        <w:t xml:space="preserve">, </w:t>
      </w:r>
      <w:r>
        <w:rPr>
          <w:i/>
          <w:iCs/>
        </w:rPr>
        <w:t>6</w:t>
      </w:r>
      <w:r>
        <w:rPr/>
        <w:t xml:space="preserve">, 457. </w:t>
      </w:r>
      <w:hyperlink r:id="rId38">
        <w:r>
          <w:rPr>
            <w:rStyle w:val="InternetLink"/>
          </w:rPr>
          <w:t>https://doi.org/10.1007/s42452-024-06083-x</w:t>
        </w:r>
      </w:hyperlink>
    </w:p>
    <w:p>
      <w:pPr>
        <w:pStyle w:val="MDPI81references"/>
        <w:numPr>
          <w:ilvl w:val="0"/>
          <w:numId w:val="10"/>
        </w:numPr>
        <w:ind w:left="425" w:hanging="425"/>
        <w:rPr/>
      </w:pPr>
      <w:r>
        <w:rPr/>
        <w:t xml:space="preserve">Kaur, S.; Chavan, S.R. Comparative analysis of deep learning and machine learning models for one-day-ahead streamflow forecasting in the Krishna River basin. </w:t>
      </w:r>
      <w:r>
        <w:rPr>
          <w:i/>
          <w:iCs/>
        </w:rPr>
        <w:t>J. Hydrol. Reg. Stud</w:t>
      </w:r>
      <w:r>
        <w:rPr/>
        <w:t xml:space="preserve">. </w:t>
      </w:r>
      <w:r>
        <w:rPr>
          <w:b/>
          <w:bCs/>
        </w:rPr>
        <w:t>2025</w:t>
      </w:r>
      <w:r>
        <w:rPr/>
        <w:t xml:space="preserve">, </w:t>
      </w:r>
      <w:r>
        <w:rPr>
          <w:i/>
          <w:iCs/>
        </w:rPr>
        <w:t xml:space="preserve">60, </w:t>
      </w:r>
      <w:r>
        <w:rPr/>
        <w:t xml:space="preserve">102549. </w:t>
      </w:r>
      <w:hyperlink r:id="rId39">
        <w:r>
          <w:rPr>
            <w:rStyle w:val="InternetLink"/>
          </w:rPr>
          <w:t>https://doi.org/10.1016/j.ejrh.2025.102549</w:t>
        </w:r>
      </w:hyperlink>
    </w:p>
    <w:p>
      <w:pPr>
        <w:pStyle w:val="MDPI81references"/>
        <w:numPr>
          <w:ilvl w:val="0"/>
          <w:numId w:val="11"/>
        </w:numPr>
        <w:ind w:left="425" w:hanging="425"/>
        <w:rPr/>
      </w:pPr>
      <w:r>
        <w:rPr/>
        <w:t xml:space="preserve">Zhao, Y.; Chadha, M.; Barthlow, D.; Yeates, E.; Mcknight, C.J.; Memarsadeghi, N.P.; Gugaratshan, G.; Todd, M.D.; Hu, Z. Physics-enhanced machine learning models for streamflow discharge forecasting. </w:t>
      </w:r>
      <w:r>
        <w:rPr>
          <w:i/>
          <w:iCs/>
        </w:rPr>
        <w:t>J. Hydroinform</w:t>
      </w:r>
      <w:r>
        <w:rPr/>
        <w:t xml:space="preserve">. </w:t>
      </w:r>
      <w:r>
        <w:rPr>
          <w:b/>
          <w:bCs/>
        </w:rPr>
        <w:t>2024</w:t>
      </w:r>
      <w:r>
        <w:rPr/>
        <w:t xml:space="preserve">, </w:t>
      </w:r>
      <w:r>
        <w:rPr>
          <w:i/>
          <w:iCs/>
        </w:rPr>
        <w:t xml:space="preserve">26, </w:t>
      </w:r>
      <w:r>
        <w:rPr/>
        <w:t xml:space="preserve">2506–2537. </w:t>
      </w:r>
      <w:hyperlink r:id="rId40">
        <w:r>
          <w:rPr>
            <w:rStyle w:val="InternetLink"/>
          </w:rPr>
          <w:t>https://doi.org/10.2166/hydro.2024.061</w:t>
        </w:r>
      </w:hyperlink>
    </w:p>
    <w:p>
      <w:pPr>
        <w:pStyle w:val="MDPI81references"/>
        <w:numPr>
          <w:ilvl w:val="0"/>
          <w:numId w:val="12"/>
        </w:numPr>
        <w:ind w:left="425" w:hanging="425"/>
        <w:rPr/>
      </w:pPr>
      <w:r>
        <w:rPr/>
        <w:t xml:space="preserve">Luppichini, M.; Vailati, G.; Fontana, L.; Bini, M. Machine learning models for river flow forecasting in small catchments. </w:t>
      </w:r>
      <w:r>
        <w:rPr>
          <w:i/>
          <w:iCs/>
        </w:rPr>
        <w:t xml:space="preserve">Sci. Rep. </w:t>
      </w:r>
      <w:r>
        <w:rPr>
          <w:b/>
          <w:bCs/>
        </w:rPr>
        <w:t>2024</w:t>
      </w:r>
      <w:r>
        <w:rPr/>
        <w:t xml:space="preserve">, </w:t>
      </w:r>
      <w:r>
        <w:rPr>
          <w:i/>
          <w:iCs/>
        </w:rPr>
        <w:t>14</w:t>
      </w:r>
      <w:r>
        <w:rPr/>
        <w:t xml:space="preserve">, 26740. </w:t>
      </w:r>
      <w:hyperlink r:id="rId41">
        <w:r>
          <w:rPr>
            <w:rStyle w:val="InternetLink"/>
          </w:rPr>
          <w:t>https://doi.org/10.1038/s41598-024-78012-2</w:t>
        </w:r>
      </w:hyperlink>
    </w:p>
    <w:p>
      <w:pPr>
        <w:pStyle w:val="MDPI81references"/>
        <w:numPr>
          <w:ilvl w:val="0"/>
          <w:numId w:val="13"/>
        </w:numPr>
        <w:ind w:left="425" w:hanging="425"/>
        <w:rPr/>
      </w:pPr>
      <w:r>
        <w:rPr/>
        <w:t xml:space="preserve">Hamzeh, H.A.; Zahra, A.; Mohammad, N.T. A comparative study between time series and soft computing models for river discharge forecasting. </w:t>
      </w:r>
      <w:r>
        <w:rPr>
          <w:i/>
          <w:iCs/>
        </w:rPr>
        <w:t>Appl. Water Sci</w:t>
      </w:r>
      <w:r>
        <w:rPr/>
        <w:t xml:space="preserve">. </w:t>
      </w:r>
      <w:r>
        <w:rPr>
          <w:b/>
          <w:bCs/>
        </w:rPr>
        <w:t>2025</w:t>
      </w:r>
      <w:r>
        <w:rPr/>
        <w:t xml:space="preserve">, </w:t>
      </w:r>
      <w:r>
        <w:rPr>
          <w:i/>
          <w:iCs/>
        </w:rPr>
        <w:t>15</w:t>
      </w:r>
      <w:r>
        <w:rPr/>
        <w:t xml:space="preserve">, 273. </w:t>
      </w:r>
      <w:hyperlink r:id="rId42">
        <w:r>
          <w:rPr>
            <w:rStyle w:val="InternetLink"/>
          </w:rPr>
          <w:t>https://doi.org/10.1007/s13201-025-02632-w</w:t>
        </w:r>
      </w:hyperlink>
    </w:p>
    <w:p>
      <w:pPr>
        <w:pStyle w:val="MDPI81references"/>
        <w:numPr>
          <w:ilvl w:val="0"/>
          <w:numId w:val="14"/>
        </w:numPr>
        <w:ind w:left="425" w:hanging="425"/>
        <w:rPr/>
      </w:pPr>
      <w:r>
        <w:rPr/>
        <w:t xml:space="preserve">Suwal, N.; Khatakho, R.; Jha, A.N.; Ankon, S.B.; Lamichhane, M.; &amp; Kuriqi, A. Streamflow forecasting using machine learning and remote sensing data in the Himalayan region. </w:t>
      </w:r>
      <w:r>
        <w:rPr>
          <w:i/>
          <w:iCs/>
        </w:rPr>
        <w:t>Water Sci. Technol</w:t>
      </w:r>
      <w:r>
        <w:rPr/>
        <w:t xml:space="preserve">. </w:t>
      </w:r>
      <w:r>
        <w:rPr>
          <w:b/>
          <w:bCs/>
        </w:rPr>
        <w:t>2025</w:t>
      </w:r>
      <w:r>
        <w:rPr/>
        <w:t xml:space="preserve">, </w:t>
      </w:r>
      <w:r>
        <w:rPr>
          <w:i/>
          <w:iCs/>
        </w:rPr>
        <w:t>20</w:t>
      </w:r>
      <w:r>
        <w:rPr/>
        <w:t xml:space="preserve">, 2472–2491. </w:t>
      </w:r>
      <w:hyperlink r:id="rId43">
        <w:r>
          <w:rPr>
            <w:rStyle w:val="InternetLink"/>
          </w:rPr>
          <w:t>https://doi.org/10.2166/wpt.2025.153</w:t>
        </w:r>
      </w:hyperlink>
    </w:p>
    <w:p>
      <w:pPr>
        <w:pStyle w:val="MDPI81references"/>
        <w:numPr>
          <w:ilvl w:val="0"/>
          <w:numId w:val="15"/>
        </w:numPr>
        <w:ind w:left="425" w:hanging="425"/>
        <w:rPr/>
      </w:pPr>
      <w:r>
        <w:rPr/>
        <w:t xml:space="preserve">Ni, L.; Wang, D.; Wu, J..; Wang, Y.; Tao, Y.; Zhang, J.; Liu, J. Streamflow forecasting using extreme gradient boosting model coupled with Gaussian mixture model. </w:t>
      </w:r>
      <w:r>
        <w:rPr>
          <w:i/>
          <w:iCs/>
        </w:rPr>
        <w:t>J. Hydrol</w:t>
      </w:r>
      <w:r>
        <w:rPr/>
        <w:t xml:space="preserve">. </w:t>
      </w:r>
      <w:r>
        <w:rPr>
          <w:b/>
          <w:bCs/>
        </w:rPr>
        <w:t>2020</w:t>
      </w:r>
      <w:r>
        <w:rPr/>
        <w:t xml:space="preserve">, </w:t>
      </w:r>
      <w:r>
        <w:rPr>
          <w:i/>
          <w:iCs/>
        </w:rPr>
        <w:t>586</w:t>
      </w:r>
      <w:r>
        <w:rPr/>
        <w:t xml:space="preserve">, 124901. </w:t>
      </w:r>
      <w:hyperlink r:id="rId44">
        <w:r>
          <w:rPr>
            <w:rStyle w:val="InternetLink"/>
          </w:rPr>
          <w:t>https://doi.org/10.1016/j.jhydrol.2020.124901</w:t>
        </w:r>
      </w:hyperlink>
    </w:p>
    <w:p>
      <w:pPr>
        <w:pStyle w:val="MDPI81references"/>
        <w:numPr>
          <w:ilvl w:val="0"/>
          <w:numId w:val="16"/>
        </w:numPr>
        <w:ind w:left="425" w:hanging="425"/>
        <w:rPr>
          <w:rStyle w:val="InternetLink"/>
          <w:color w:val="000000"/>
          <w:u w:val="none"/>
        </w:rPr>
      </w:pPr>
      <w:r>
        <w:rPr/>
        <w:t xml:space="preserve">Kedam, N.; Tiwari D.K.; Kumar, V.; Khedher, K.M.; Salem, M.A. River stream flow prediction through advanced machine learning models for enhanced accuracy. </w:t>
      </w:r>
      <w:r>
        <w:rPr>
          <w:i/>
          <w:iCs/>
        </w:rPr>
        <w:t>Results Eng.</w:t>
      </w:r>
      <w:r>
        <w:rPr/>
        <w:t xml:space="preserve"> </w:t>
      </w:r>
      <w:r>
        <w:rPr>
          <w:b/>
          <w:bCs/>
        </w:rPr>
        <w:t>2024</w:t>
      </w:r>
      <w:r>
        <w:rPr/>
        <w:t xml:space="preserve">, </w:t>
      </w:r>
      <w:r>
        <w:rPr>
          <w:i/>
          <w:iCs/>
        </w:rPr>
        <w:t>22</w:t>
      </w:r>
      <w:r>
        <w:rPr/>
        <w:t xml:space="preserve">, 102215. </w:t>
      </w:r>
      <w:hyperlink r:id="rId45">
        <w:r>
          <w:rPr>
            <w:rStyle w:val="InternetLink"/>
          </w:rPr>
          <w:t>https://doi.org/10.1016/j.rineng.2024.102215</w:t>
        </w:r>
      </w:hyperlink>
    </w:p>
    <w:p>
      <w:pPr>
        <w:pStyle w:val="MDPI81references"/>
        <w:numPr>
          <w:ilvl w:val="0"/>
          <w:numId w:val="17"/>
        </w:numPr>
        <w:ind w:left="425" w:hanging="425"/>
        <w:rPr/>
      </w:pPr>
      <w:r>
        <w:rPr/>
        <w:t xml:space="preserve">López-Chacón, S.R.; Salazar, F.; Bladé, E. Interpretation of a Machine Learning Model for Short-Term High Streamflow Prediction. </w:t>
      </w:r>
      <w:r>
        <w:rPr>
          <w:i/>
          <w:iCs/>
        </w:rPr>
        <w:t>Earth</w:t>
      </w:r>
      <w:r>
        <w:rPr/>
        <w:t xml:space="preserve">, 2025, 6, 64. </w:t>
      </w:r>
      <w:hyperlink r:id="rId46">
        <w:r>
          <w:rPr>
            <w:rStyle w:val="InternetLink"/>
          </w:rPr>
          <w:t>https://doi.org/10.3390/earth6030064</w:t>
        </w:r>
      </w:hyperlink>
    </w:p>
    <w:p>
      <w:pPr>
        <w:pStyle w:val="MDPI81references"/>
        <w:numPr>
          <w:ilvl w:val="0"/>
          <w:numId w:val="18"/>
        </w:numPr>
        <w:ind w:left="425" w:hanging="425"/>
        <w:rPr/>
      </w:pPr>
      <w:r>
        <w:rPr/>
        <w:t xml:space="preserve">Feng, D.; Fang, K.; Shen, C. Enhancing streamflow forecast and extracting insights using long–short term memory networks with data integration at continental scales. </w:t>
      </w:r>
      <w:r>
        <w:rPr>
          <w:i/>
          <w:iCs/>
        </w:rPr>
        <w:t>Water Resour. Res</w:t>
      </w:r>
      <w:r>
        <w:rPr/>
        <w:t xml:space="preserve">. </w:t>
      </w:r>
      <w:r>
        <w:rPr>
          <w:b/>
          <w:bCs/>
        </w:rPr>
        <w:t>2020</w:t>
      </w:r>
      <w:r>
        <w:rPr/>
        <w:t xml:space="preserve">, </w:t>
      </w:r>
      <w:r>
        <w:rPr>
          <w:i/>
          <w:iCs/>
        </w:rPr>
        <w:t>56</w:t>
      </w:r>
      <w:r>
        <w:rPr/>
        <w:t xml:space="preserve">, e2019WR026793. </w:t>
      </w:r>
      <w:hyperlink r:id="rId47">
        <w:r>
          <w:rPr>
            <w:rStyle w:val="InternetLink"/>
          </w:rPr>
          <w:t>https://doi.org/10.1029/2019WR026793</w:t>
        </w:r>
      </w:hyperlink>
    </w:p>
    <w:p>
      <w:pPr>
        <w:pStyle w:val="MDPI81references"/>
        <w:numPr>
          <w:ilvl w:val="0"/>
          <w:numId w:val="19"/>
        </w:numPr>
        <w:ind w:left="425" w:hanging="425"/>
        <w:rPr/>
      </w:pPr>
      <w:r>
        <w:rPr/>
        <w:t xml:space="preserve">Zealand, C.M.; Burn, D.H.; Simonovic, S.P. Short term streamflow forecasting using artificial neural networks. J. Hydrol. 1999, 214, 32–48. </w:t>
      </w:r>
      <w:hyperlink r:id="rId48">
        <w:r>
          <w:rPr>
            <w:rStyle w:val="InternetLink"/>
          </w:rPr>
          <w:t>https://doi.org/10.1016/S0022-1694(98)00242-X</w:t>
        </w:r>
      </w:hyperlink>
    </w:p>
    <w:p>
      <w:pPr>
        <w:pStyle w:val="MDPI81references"/>
        <w:numPr>
          <w:ilvl w:val="0"/>
          <w:numId w:val="20"/>
        </w:numPr>
        <w:ind w:left="425" w:hanging="425"/>
        <w:rPr/>
      </w:pPr>
      <w:r>
        <w:rPr/>
        <w:t xml:space="preserve">Zhou, J.; Peng, T.; Zhang, C.; Sun, N. Data Pre-Analysis and Ensemble of Various Artificial Neural Networks for Monthly Streamflow Forecasting. Water </w:t>
      </w:r>
      <w:r>
        <w:rPr>
          <w:b/>
          <w:bCs/>
        </w:rPr>
        <w:t>2018</w:t>
      </w:r>
      <w:r>
        <w:rPr/>
        <w:t xml:space="preserve">, </w:t>
      </w:r>
      <w:r>
        <w:rPr>
          <w:i/>
          <w:iCs/>
        </w:rPr>
        <w:t>10</w:t>
      </w:r>
      <w:r>
        <w:rPr/>
        <w:t xml:space="preserve">, 628. </w:t>
      </w:r>
      <w:hyperlink r:id="rId49">
        <w:r>
          <w:rPr>
            <w:rStyle w:val="InternetLink"/>
          </w:rPr>
          <w:t>https://doi.org/10.3390/w10050628</w:t>
        </w:r>
      </w:hyperlink>
    </w:p>
    <w:p>
      <w:pPr>
        <w:pStyle w:val="MDPI81references"/>
        <w:numPr>
          <w:ilvl w:val="0"/>
          <w:numId w:val="21"/>
        </w:numPr>
        <w:ind w:left="425" w:hanging="425"/>
        <w:rPr/>
      </w:pPr>
      <w:r>
        <w:rPr/>
        <w:t xml:space="preserve">Zemzami, M.; Benaabidate, L. Improvement of artificial neural networks to predict daily streamflow in a semi-arid area. </w:t>
      </w:r>
      <w:r>
        <w:rPr>
          <w:i/>
          <w:iCs/>
        </w:rPr>
        <w:t>Hydrol. Sci</w:t>
      </w:r>
      <w:r>
        <w:rPr/>
        <w:t xml:space="preserve">. J. </w:t>
      </w:r>
      <w:r>
        <w:rPr>
          <w:b/>
          <w:bCs/>
        </w:rPr>
        <w:t>2016</w:t>
      </w:r>
      <w:r>
        <w:rPr/>
        <w:t xml:space="preserve">, </w:t>
      </w:r>
      <w:r>
        <w:rPr>
          <w:i/>
          <w:iCs/>
        </w:rPr>
        <w:t>61</w:t>
      </w:r>
      <w:r>
        <w:rPr/>
        <w:t xml:space="preserve">, 1801–1812. </w:t>
      </w:r>
      <w:hyperlink r:id="rId50">
        <w:r>
          <w:rPr>
            <w:rStyle w:val="InternetLink"/>
          </w:rPr>
          <w:t>https://doi.org/10.1080/02626667.2015.1055271</w:t>
        </w:r>
      </w:hyperlink>
    </w:p>
    <w:p>
      <w:pPr>
        <w:pStyle w:val="MDPI81references"/>
        <w:numPr>
          <w:ilvl w:val="0"/>
          <w:numId w:val="22"/>
        </w:numPr>
        <w:ind w:left="425" w:hanging="425"/>
        <w:rPr/>
      </w:pPr>
      <w:r>
        <w:rPr/>
        <w:t xml:space="preserve">Hunt, K.M.R.; Matthews, G.R.; Pappenberger, F.; Prudhomme, C. Using a long short-term memory (LSTM) neural network to boost river streamflow forecasts over the western United States. </w:t>
      </w:r>
      <w:r>
        <w:rPr>
          <w:i/>
          <w:iCs/>
        </w:rPr>
        <w:t>Hydrol. Earth Syst. Sci</w:t>
      </w:r>
      <w:r>
        <w:rPr/>
        <w:t xml:space="preserve">. </w:t>
      </w:r>
      <w:r>
        <w:rPr>
          <w:b/>
          <w:bCs/>
        </w:rPr>
        <w:t>2022</w:t>
      </w:r>
      <w:r>
        <w:rPr/>
        <w:t xml:space="preserve">, </w:t>
      </w:r>
      <w:r>
        <w:rPr>
          <w:i/>
          <w:iCs/>
        </w:rPr>
        <w:t>26</w:t>
      </w:r>
      <w:r>
        <w:rPr/>
        <w:t xml:space="preserve">, 5449–5472, </w:t>
      </w:r>
      <w:hyperlink r:id="rId51">
        <w:r>
          <w:rPr>
            <w:rStyle w:val="InternetLink"/>
          </w:rPr>
          <w:t>https://doi.org/10.5194/hess-26-5449-2022</w:t>
        </w:r>
      </w:hyperlink>
      <w:r>
        <w:rPr/>
        <w:t>.</w:t>
      </w:r>
    </w:p>
    <w:p>
      <w:pPr>
        <w:pStyle w:val="MDPI81references"/>
        <w:numPr>
          <w:ilvl w:val="0"/>
          <w:numId w:val="23"/>
        </w:numPr>
        <w:ind w:left="425" w:hanging="425"/>
        <w:rPr/>
      </w:pPr>
      <w:r>
        <w:rPr/>
        <w:t xml:space="preserve">Leščešen, I.; Tanhapour, M.; Pekárová, P.; Miklánek, P.; Bajtek, Z. Long Short-Term Memory (LSTM) Networks for Accurate River Flow Forecasting: A Case Study on the Morava River Basin (Serbia). </w:t>
      </w:r>
      <w:r>
        <w:rPr>
          <w:i/>
          <w:iCs/>
        </w:rPr>
        <w:t>Water</w:t>
      </w:r>
      <w:r>
        <w:rPr/>
        <w:t xml:space="preserve"> </w:t>
      </w:r>
      <w:r>
        <w:rPr>
          <w:b/>
          <w:bCs/>
        </w:rPr>
        <w:t>2025</w:t>
      </w:r>
      <w:r>
        <w:rPr/>
        <w:t xml:space="preserve">, </w:t>
      </w:r>
      <w:r>
        <w:rPr>
          <w:i/>
          <w:iCs/>
        </w:rPr>
        <w:t>17</w:t>
      </w:r>
      <w:r>
        <w:rPr/>
        <w:t xml:space="preserve">, 907. </w:t>
      </w:r>
      <w:hyperlink r:id="rId52">
        <w:r>
          <w:rPr>
            <w:rStyle w:val="InternetLink"/>
          </w:rPr>
          <w:t>https://doi.org/10.3390/w17060907</w:t>
        </w:r>
      </w:hyperlink>
    </w:p>
    <w:p>
      <w:pPr>
        <w:pStyle w:val="MDPI81references"/>
        <w:numPr>
          <w:ilvl w:val="0"/>
          <w:numId w:val="24"/>
        </w:numPr>
        <w:ind w:left="425" w:hanging="425"/>
        <w:rPr/>
      </w:pPr>
      <w:r>
        <w:rPr/>
        <w:t xml:space="preserve">Nguyen, N.Y.; Kha, D.D.; Van Ninh, L.; Anh, V.T.; Anh, T.N. Streamflow prediction using Long Short-Term Memory networks: a case study at the Kratie Hydrological Station, Mekong River Basin. </w:t>
      </w:r>
      <w:r>
        <w:rPr>
          <w:i/>
          <w:iCs/>
        </w:rPr>
        <w:t>J. Hydroinform</w:t>
      </w:r>
      <w:r>
        <w:rPr/>
        <w:t xml:space="preserve">. </w:t>
      </w:r>
      <w:r>
        <w:rPr>
          <w:b/>
          <w:bCs/>
        </w:rPr>
        <w:t>2025</w:t>
      </w:r>
      <w:r>
        <w:rPr/>
        <w:t xml:space="preserve">, </w:t>
      </w:r>
      <w:r>
        <w:rPr>
          <w:i/>
          <w:iCs/>
        </w:rPr>
        <w:t>27</w:t>
      </w:r>
      <w:r>
        <w:rPr/>
        <w:t xml:space="preserve">, 275–298. </w:t>
      </w:r>
      <w:hyperlink r:id="rId53">
        <w:r>
          <w:rPr>
            <w:rStyle w:val="InternetLink"/>
          </w:rPr>
          <w:t>https://doi.org/10.2166/hydro.2025.276</w:t>
        </w:r>
      </w:hyperlink>
    </w:p>
    <w:p>
      <w:pPr>
        <w:pStyle w:val="MDPI81references"/>
        <w:numPr>
          <w:ilvl w:val="0"/>
          <w:numId w:val="25"/>
        </w:numPr>
        <w:ind w:left="425" w:hanging="425"/>
        <w:rPr/>
      </w:pPr>
      <w:r>
        <w:rPr/>
        <w:t xml:space="preserve">Liu, Y.; Hou, G.; Huang F.; Qin, H.; Wang, B.; Yi, L. Directed graph deep neural network for multi-step daily streamflow forecasting. </w:t>
      </w:r>
      <w:r>
        <w:rPr>
          <w:i/>
          <w:iCs/>
        </w:rPr>
        <w:t>J Hydrol</w:t>
      </w:r>
      <w:r>
        <w:rPr/>
        <w:t xml:space="preserve">. </w:t>
      </w:r>
      <w:r>
        <w:rPr>
          <w:b/>
          <w:bCs/>
        </w:rPr>
        <w:t>2022</w:t>
      </w:r>
      <w:r>
        <w:rPr/>
        <w:t xml:space="preserve">, </w:t>
      </w:r>
      <w:r>
        <w:rPr>
          <w:i/>
          <w:iCs/>
        </w:rPr>
        <w:t>607</w:t>
      </w:r>
      <w:r>
        <w:rPr/>
        <w:t xml:space="preserve">, 127515. </w:t>
      </w:r>
      <w:hyperlink r:id="rId54">
        <w:r>
          <w:rPr>
            <w:rStyle w:val="InternetLink"/>
          </w:rPr>
          <w:t>https://doi.org/10.1016/j.jhydrol.2022.127515</w:t>
        </w:r>
      </w:hyperlink>
      <w:r>
        <w:rPr/>
        <w:t xml:space="preserve"> </w:t>
      </w:r>
    </w:p>
    <w:p>
      <w:pPr>
        <w:pStyle w:val="MDPI81references"/>
        <w:numPr>
          <w:ilvl w:val="0"/>
          <w:numId w:val="26"/>
        </w:numPr>
        <w:ind w:left="425" w:hanging="425"/>
        <w:rPr/>
      </w:pPr>
      <w:r>
        <w:rPr/>
        <w:t xml:space="preserve">Huang, J.; Chen, J.; Huang, H.; Cai, X. Deep Learning-Based Daily Streamflow Prediction Model for the Hanjiang River Basin. </w:t>
      </w:r>
      <w:r>
        <w:rPr>
          <w:i/>
          <w:iCs/>
        </w:rPr>
        <w:t>Hydrology</w:t>
      </w:r>
      <w:r>
        <w:rPr/>
        <w:t xml:space="preserve"> </w:t>
      </w:r>
      <w:r>
        <w:rPr>
          <w:b/>
          <w:bCs/>
        </w:rPr>
        <w:t>2025</w:t>
      </w:r>
      <w:r>
        <w:rPr/>
        <w:t xml:space="preserve">, </w:t>
      </w:r>
      <w:r>
        <w:rPr>
          <w:i/>
          <w:iCs/>
        </w:rPr>
        <w:t>12</w:t>
      </w:r>
      <w:r>
        <w:rPr/>
        <w:t xml:space="preserve">, 168. </w:t>
      </w:r>
      <w:hyperlink r:id="rId55">
        <w:r>
          <w:rPr>
            <w:rStyle w:val="InternetLink"/>
          </w:rPr>
          <w:t>https://doi.org/10.3390/hydrology12070168</w:t>
        </w:r>
      </w:hyperlink>
    </w:p>
    <w:p>
      <w:pPr>
        <w:pStyle w:val="MDPI81references"/>
        <w:numPr>
          <w:ilvl w:val="0"/>
          <w:numId w:val="27"/>
        </w:numPr>
        <w:ind w:left="425" w:hanging="425"/>
        <w:rPr/>
      </w:pPr>
      <w:r>
        <w:rPr/>
        <w:t xml:space="preserve">Callegari, M.; Mazzoli, P.; De Gregorio, L.; Notarnicola, C.; Pasolli, L.; Petitta, M.; Pistocchi, A. Seasonal River Discharge Forecasting Using Support Vector Regression: A Case Study in the Italian Alps. </w:t>
      </w:r>
      <w:r>
        <w:rPr>
          <w:i/>
          <w:iCs/>
        </w:rPr>
        <w:t>Water</w:t>
      </w:r>
      <w:r>
        <w:rPr/>
        <w:t xml:space="preserve"> </w:t>
      </w:r>
      <w:r>
        <w:rPr>
          <w:b/>
          <w:bCs/>
        </w:rPr>
        <w:t>2015</w:t>
      </w:r>
      <w:r>
        <w:rPr/>
        <w:t xml:space="preserve">, </w:t>
      </w:r>
      <w:r>
        <w:rPr>
          <w:i/>
          <w:iCs/>
        </w:rPr>
        <w:t>7</w:t>
      </w:r>
      <w:r>
        <w:rPr/>
        <w:t xml:space="preserve">, 2494-2515. </w:t>
      </w:r>
      <w:hyperlink r:id="rId56">
        <w:r>
          <w:rPr>
            <w:rStyle w:val="InternetLink"/>
          </w:rPr>
          <w:t>https://doi.org/10.3390/w7052494</w:t>
        </w:r>
      </w:hyperlink>
    </w:p>
    <w:p>
      <w:pPr>
        <w:pStyle w:val="MDPI81references"/>
        <w:numPr>
          <w:ilvl w:val="0"/>
          <w:numId w:val="28"/>
        </w:numPr>
        <w:ind w:left="425" w:hanging="425"/>
        <w:rPr/>
      </w:pPr>
      <w:r>
        <w:rPr/>
        <w:t xml:space="preserve">Sharma, B.; Goel, N.K. Streamflow prediction using support vector regression machine learning model for Tehri Dam. </w:t>
      </w:r>
      <w:r>
        <w:rPr>
          <w:i/>
          <w:iCs/>
        </w:rPr>
        <w:t>Appl. Water. Sci.</w:t>
      </w:r>
      <w:r>
        <w:rPr/>
        <w:t xml:space="preserve"> </w:t>
      </w:r>
      <w:r>
        <w:rPr>
          <w:b/>
          <w:bCs/>
        </w:rPr>
        <w:t>2024</w:t>
      </w:r>
      <w:r>
        <w:rPr/>
        <w:t xml:space="preserve">, </w:t>
      </w:r>
      <w:r>
        <w:rPr>
          <w:i/>
          <w:iCs/>
        </w:rPr>
        <w:t>14</w:t>
      </w:r>
      <w:r>
        <w:rPr/>
        <w:t xml:space="preserve">, 99. </w:t>
      </w:r>
      <w:hyperlink r:id="rId57">
        <w:r>
          <w:rPr>
            <w:rStyle w:val="InternetLink"/>
          </w:rPr>
          <w:t>https://doi.org/10.1007/s13201-024-02135-0</w:t>
        </w:r>
      </w:hyperlink>
    </w:p>
    <w:p>
      <w:pPr>
        <w:pStyle w:val="MDPI81references"/>
        <w:numPr>
          <w:ilvl w:val="0"/>
          <w:numId w:val="29"/>
        </w:numPr>
        <w:ind w:left="425" w:hanging="425"/>
        <w:rPr/>
      </w:pPr>
      <w:r>
        <w:rPr/>
        <w:t xml:space="preserve">Pham, L.T.; Luo, L.; Finley, A. Evaluation of random forests for short-term daily streamflow forecasting in rainfall- and snowmelt-driven watersheds. </w:t>
      </w:r>
      <w:r>
        <w:rPr>
          <w:i/>
          <w:iCs/>
        </w:rPr>
        <w:t>Hydrol. Earth Syst. Sci</w:t>
      </w:r>
      <w:r>
        <w:rPr/>
        <w:t xml:space="preserve">. </w:t>
      </w:r>
      <w:r>
        <w:rPr>
          <w:b/>
          <w:bCs/>
        </w:rPr>
        <w:t>2021</w:t>
      </w:r>
      <w:r>
        <w:rPr/>
        <w:t xml:space="preserve">, </w:t>
      </w:r>
      <w:r>
        <w:rPr>
          <w:i/>
          <w:iCs/>
        </w:rPr>
        <w:t>25</w:t>
      </w:r>
      <w:r>
        <w:rPr/>
        <w:t xml:space="preserve">, 2997–3015. </w:t>
      </w:r>
      <w:hyperlink r:id="rId58">
        <w:r>
          <w:rPr>
            <w:rStyle w:val="InternetLink"/>
          </w:rPr>
          <w:t>https://doi.org/10.5194/hess-25-2997-2021</w:t>
        </w:r>
      </w:hyperlink>
      <w:r>
        <w:rPr/>
        <w:t>.</w:t>
      </w:r>
    </w:p>
    <w:p>
      <w:pPr>
        <w:pStyle w:val="MDPI81references"/>
        <w:numPr>
          <w:ilvl w:val="0"/>
          <w:numId w:val="30"/>
        </w:numPr>
        <w:ind w:left="425" w:hanging="425"/>
        <w:rPr/>
      </w:pPr>
      <w:r>
        <w:rPr/>
        <w:t xml:space="preserve">Puri, D.; Sihag, P.; Thakur, M.S.; Jameel, M.; Chadee, A.A.; Hazi, M.A. Analysis of data splitting on streamflow prediction using random forest. </w:t>
      </w:r>
      <w:r>
        <w:rPr>
          <w:i/>
          <w:iCs/>
        </w:rPr>
        <w:t>AIMS Environ.</w:t>
      </w:r>
      <w:r>
        <w:rPr/>
        <w:t xml:space="preserve"> Sci. </w:t>
      </w:r>
      <w:r>
        <w:rPr>
          <w:b/>
          <w:bCs/>
        </w:rPr>
        <w:t>2024</w:t>
      </w:r>
      <w:r>
        <w:rPr/>
        <w:t xml:space="preserve">, </w:t>
      </w:r>
      <w:r>
        <w:rPr>
          <w:i/>
          <w:iCs/>
        </w:rPr>
        <w:t>11</w:t>
      </w:r>
      <w:r>
        <w:rPr/>
        <w:t xml:space="preserve">, 593–609. </w:t>
      </w:r>
      <w:hyperlink r:id="rId59">
        <w:r>
          <w:rPr>
            <w:rStyle w:val="InternetLink"/>
          </w:rPr>
          <w:t>https://doi.org/10.3934/environsci.2024029</w:t>
        </w:r>
      </w:hyperlink>
    </w:p>
    <w:p>
      <w:pPr>
        <w:pStyle w:val="MDPI81references"/>
        <w:numPr>
          <w:ilvl w:val="0"/>
          <w:numId w:val="31"/>
        </w:numPr>
        <w:ind w:left="425" w:hanging="425"/>
        <w:rPr/>
      </w:pPr>
      <w:r>
        <w:rPr/>
        <w:t xml:space="preserve">Xu, K.; Han, Z.; Xu, H.; Bin, L. Rapid Prediction Model for Urban Floods Based on a Light Gradient Boosting Machine Approach and Hydrological–Hydraulic Model. </w:t>
      </w:r>
      <w:r>
        <w:rPr>
          <w:i/>
          <w:iCs/>
        </w:rPr>
        <w:t>Int. J. Disaster Risk Sci</w:t>
      </w:r>
      <w:r>
        <w:rPr/>
        <w:t xml:space="preserve">. </w:t>
      </w:r>
      <w:r>
        <w:rPr>
          <w:b/>
          <w:bCs/>
        </w:rPr>
        <w:t>2023</w:t>
      </w:r>
      <w:r>
        <w:rPr/>
        <w:t xml:space="preserve">, </w:t>
      </w:r>
      <w:r>
        <w:rPr>
          <w:i/>
          <w:iCs/>
        </w:rPr>
        <w:t>14</w:t>
      </w:r>
      <w:r>
        <w:rPr/>
        <w:t>, 79–97. https://doi.org/10.1007/s13753-023-00465-2</w:t>
      </w:r>
    </w:p>
    <w:p>
      <w:pPr>
        <w:pStyle w:val="MDPI81references"/>
        <w:numPr>
          <w:ilvl w:val="0"/>
          <w:numId w:val="32"/>
        </w:numPr>
        <w:ind w:left="425" w:hanging="425"/>
        <w:rPr/>
      </w:pPr>
      <w:r>
        <w:rPr/>
        <w:t xml:space="preserve">Kumar, V.; Kedam, N.; Sharma, K.V.; Mehta, D.J.; Caloiero, T. Advanced Machine Learning Techniques to Improve Hydrological Prediction: A Comparative Analysis of Streamflow Prediction Models. </w:t>
      </w:r>
      <w:r>
        <w:rPr>
          <w:i/>
          <w:iCs/>
        </w:rPr>
        <w:t>Water</w:t>
      </w:r>
      <w:r>
        <w:rPr/>
        <w:t xml:space="preserve"> </w:t>
      </w:r>
      <w:r>
        <w:rPr>
          <w:b/>
          <w:bCs/>
        </w:rPr>
        <w:t>2023</w:t>
      </w:r>
      <w:r>
        <w:rPr/>
        <w:t xml:space="preserve">, </w:t>
      </w:r>
      <w:r>
        <w:rPr>
          <w:i/>
          <w:iCs/>
        </w:rPr>
        <w:t>15</w:t>
      </w:r>
      <w:r>
        <w:rPr/>
        <w:t xml:space="preserve">, 2572. </w:t>
      </w:r>
      <w:hyperlink r:id="rId60">
        <w:r>
          <w:rPr>
            <w:rStyle w:val="InternetLink"/>
          </w:rPr>
          <w:t>https://doi.org/10.3390/w15142572</w:t>
        </w:r>
      </w:hyperlink>
    </w:p>
    <w:p>
      <w:pPr>
        <w:pStyle w:val="MDPI81references"/>
        <w:numPr>
          <w:ilvl w:val="0"/>
          <w:numId w:val="33"/>
        </w:numPr>
        <w:ind w:left="425" w:hanging="425"/>
        <w:rPr/>
      </w:pPr>
      <w:r>
        <w:rPr/>
        <w:t xml:space="preserve">Alipour, M.H. Streamflow prediction in ungauged basins located within data-scarce areas using XGBoost: role of feature engineering and explainability. </w:t>
      </w:r>
      <w:r>
        <w:rPr>
          <w:i/>
          <w:iCs/>
        </w:rPr>
        <w:t>Int. J. River Basin Manag</w:t>
      </w:r>
      <w:r>
        <w:rPr/>
        <w:t xml:space="preserve">. </w:t>
      </w:r>
      <w:r>
        <w:rPr>
          <w:b/>
          <w:bCs/>
        </w:rPr>
        <w:t>2025</w:t>
      </w:r>
      <w:r>
        <w:rPr/>
        <w:t xml:space="preserve">, </w:t>
      </w:r>
      <w:r>
        <w:rPr>
          <w:i/>
          <w:iCs/>
        </w:rPr>
        <w:t>23</w:t>
      </w:r>
      <w:r>
        <w:rPr/>
        <w:t xml:space="preserve">, 71–92. </w:t>
      </w:r>
      <w:hyperlink r:id="rId61">
        <w:r>
          <w:rPr>
            <w:rStyle w:val="InternetLink"/>
          </w:rPr>
          <w:t>https://doi.org/10.1080/15715124.2023.2245809</w:t>
        </w:r>
      </w:hyperlink>
    </w:p>
    <w:p>
      <w:pPr>
        <w:pStyle w:val="MDPI81references"/>
        <w:numPr>
          <w:ilvl w:val="0"/>
          <w:numId w:val="34"/>
        </w:numPr>
        <w:ind w:left="425" w:hanging="425"/>
        <w:rPr/>
      </w:pPr>
      <w:r>
        <w:rPr/>
        <w:t xml:space="preserve">R, Y.P.; R, M. Enhanced streamflow prediction using SWAT’s influential parameters: a comparative analysis of PCA-MLR and XGBoost models. </w:t>
      </w:r>
      <w:r>
        <w:rPr>
          <w:i/>
          <w:iCs/>
        </w:rPr>
        <w:t xml:space="preserve">Earth Sci. Inform. </w:t>
      </w:r>
      <w:r>
        <w:rPr>
          <w:b/>
          <w:bCs/>
        </w:rPr>
        <w:t>2023</w:t>
      </w:r>
      <w:r>
        <w:rPr/>
        <w:t xml:space="preserve">, </w:t>
      </w:r>
      <w:r>
        <w:rPr>
          <w:i/>
          <w:iCs/>
        </w:rPr>
        <w:t>16</w:t>
      </w:r>
      <w:r>
        <w:rPr/>
        <w:t xml:space="preserve">, 4053–4076 (2023). </w:t>
      </w:r>
      <w:hyperlink r:id="rId62">
        <w:r>
          <w:rPr>
            <w:rStyle w:val="InternetLink"/>
          </w:rPr>
          <w:t>https://doi.org/10.1007/s12145-023-01139-9</w:t>
        </w:r>
      </w:hyperlink>
    </w:p>
    <w:p>
      <w:pPr>
        <w:pStyle w:val="MDPI81references"/>
        <w:numPr>
          <w:ilvl w:val="0"/>
          <w:numId w:val="35"/>
        </w:numPr>
        <w:ind w:left="425" w:hanging="425"/>
        <w:rPr/>
      </w:pPr>
      <w:r>
        <w:rPr/>
        <w:t xml:space="preserve">Guo, J.; Zhang, F.; Li, W.; Yang, A.; Fan, Y.; Li, J. Runoff Prediction in the Xiangxi River Basin Under Climate Change: The Application of the HBV-XGBoost Coupled Model. </w:t>
      </w:r>
      <w:r>
        <w:rPr>
          <w:i/>
          <w:iCs/>
        </w:rPr>
        <w:t>Water</w:t>
      </w:r>
      <w:r>
        <w:rPr/>
        <w:t xml:space="preserve"> </w:t>
      </w:r>
      <w:r>
        <w:rPr>
          <w:b/>
          <w:bCs/>
        </w:rPr>
        <w:t>2025</w:t>
      </w:r>
      <w:r>
        <w:rPr/>
        <w:t xml:space="preserve">, </w:t>
      </w:r>
      <w:r>
        <w:rPr>
          <w:i/>
          <w:iCs/>
        </w:rPr>
        <w:t>17</w:t>
      </w:r>
      <w:r>
        <w:rPr/>
        <w:t xml:space="preserve">, 2420. </w:t>
      </w:r>
      <w:hyperlink r:id="rId63">
        <w:r>
          <w:rPr>
            <w:rStyle w:val="InternetLink"/>
          </w:rPr>
          <w:t>https://doi.org/10.3390/w17162420</w:t>
        </w:r>
      </w:hyperlink>
    </w:p>
    <w:p>
      <w:pPr>
        <w:pStyle w:val="MDPI81references"/>
        <w:numPr>
          <w:ilvl w:val="0"/>
          <w:numId w:val="36"/>
        </w:numPr>
        <w:ind w:left="425" w:hanging="425"/>
        <w:rPr/>
      </w:pPr>
      <w:r>
        <w:rPr/>
        <w:t xml:space="preserve">Le, X.-H.; Ho, H.V.; Lee, G.; Jung, S. Application of long short-term memory (LSTM) neural network for flood forecasting. </w:t>
      </w:r>
      <w:r>
        <w:rPr>
          <w:i/>
          <w:iCs/>
        </w:rPr>
        <w:t>Water</w:t>
      </w:r>
      <w:r>
        <w:rPr/>
        <w:t xml:space="preserve">, </w:t>
      </w:r>
      <w:r>
        <w:rPr>
          <w:b/>
          <w:bCs/>
        </w:rPr>
        <w:t>2019</w:t>
      </w:r>
      <w:r>
        <w:rPr/>
        <w:t xml:space="preserve">, </w:t>
      </w:r>
      <w:r>
        <w:rPr>
          <w:i/>
          <w:iCs/>
        </w:rPr>
        <w:t>11</w:t>
      </w:r>
      <w:r>
        <w:rPr/>
        <w:t xml:space="preserve">, 1387. </w:t>
      </w:r>
      <w:hyperlink r:id="rId64">
        <w:r>
          <w:rPr>
            <w:rStyle w:val="InternetLink"/>
          </w:rPr>
          <w:t>https://doi.org/10.3390/w11071387</w:t>
        </w:r>
      </w:hyperlink>
    </w:p>
    <w:p>
      <w:pPr>
        <w:pStyle w:val="MDPI81references"/>
        <w:numPr>
          <w:ilvl w:val="0"/>
          <w:numId w:val="37"/>
        </w:numPr>
        <w:ind w:left="425" w:hanging="425"/>
        <w:rPr/>
      </w:pPr>
      <w:r>
        <w:rPr/>
        <w:t xml:space="preserve">Mienye, E.; Jere, N.; Obaido, G.; Mienye, I.D.; Aruleba, K. Deep Learning in Finance: A Survey of Applications and Techniques. </w:t>
      </w:r>
      <w:r>
        <w:rPr>
          <w:i/>
          <w:iCs/>
        </w:rPr>
        <w:t>AI</w:t>
      </w:r>
      <w:r>
        <w:rPr/>
        <w:t xml:space="preserve"> </w:t>
      </w:r>
      <w:r>
        <w:rPr>
          <w:b/>
          <w:bCs/>
        </w:rPr>
        <w:t>2024</w:t>
      </w:r>
      <w:r>
        <w:rPr/>
        <w:t xml:space="preserve">, </w:t>
      </w:r>
      <w:r>
        <w:rPr>
          <w:i/>
          <w:iCs/>
        </w:rPr>
        <w:t>5</w:t>
      </w:r>
      <w:r>
        <w:rPr/>
        <w:t xml:space="preserve">, 2066-2091. </w:t>
      </w:r>
      <w:hyperlink r:id="rId65">
        <w:r>
          <w:rPr>
            <w:rStyle w:val="InternetLink"/>
          </w:rPr>
          <w:t>https://doi.org/10.3390/ai5040101</w:t>
        </w:r>
      </w:hyperlink>
    </w:p>
    <w:p>
      <w:pPr>
        <w:pStyle w:val="MDPI81references"/>
        <w:numPr>
          <w:ilvl w:val="0"/>
          <w:numId w:val="38"/>
        </w:numPr>
        <w:ind w:left="425" w:hanging="425"/>
        <w:rPr/>
      </w:pPr>
      <w:r>
        <w:rPr/>
        <w:t>Mohammad Reza Nikoo, M.R.; Aamri, A.A.; Talal Etri, T.; Ghazi Al-Rawas, G. A review of machine learning, remote sensing, and statistical methods for reservoir water quality assessment</w:t>
      </w:r>
      <w:r>
        <w:rPr>
          <w:i/>
          <w:iCs/>
        </w:rPr>
        <w:t>. J. Hydrol</w:t>
      </w:r>
      <w:r>
        <w:rPr/>
        <w:t xml:space="preserve">. </w:t>
      </w:r>
      <w:r>
        <w:rPr>
          <w:b/>
          <w:bCs/>
        </w:rPr>
        <w:t>2025</w:t>
      </w:r>
      <w:r>
        <w:rPr/>
        <w:t xml:space="preserve">, </w:t>
      </w:r>
      <w:r>
        <w:rPr>
          <w:i/>
          <w:iCs/>
        </w:rPr>
        <w:t>659</w:t>
      </w:r>
      <w:r>
        <w:rPr/>
        <w:t xml:space="preserve">, 133323. </w:t>
      </w:r>
      <w:hyperlink r:id="rId66">
        <w:r>
          <w:rPr>
            <w:rStyle w:val="InternetLink"/>
          </w:rPr>
          <w:t>https://doi.org/10.1016/j.jhydrol.2025.133323</w:t>
        </w:r>
      </w:hyperlink>
    </w:p>
    <w:p>
      <w:pPr>
        <w:pStyle w:val="MDPI81references"/>
        <w:numPr>
          <w:ilvl w:val="0"/>
          <w:numId w:val="39"/>
        </w:numPr>
        <w:ind w:left="425" w:hanging="425"/>
        <w:rPr/>
      </w:pPr>
      <w:r>
        <w:rPr>
          <w:szCs w:val="18"/>
        </w:rPr>
        <w:t xml:space="preserve">Hama Aziz, R.H.; Dimililer, N. SentiXGboost: enhanced sentiment analysis in social media posts with ensemble XGBoost classifier. </w:t>
      </w:r>
      <w:r>
        <w:rPr>
          <w:i/>
          <w:iCs/>
          <w:szCs w:val="18"/>
        </w:rPr>
        <w:t>J. Chin. Inst. Eng</w:t>
      </w:r>
      <w:r>
        <w:rPr>
          <w:szCs w:val="18"/>
        </w:rPr>
        <w:t xml:space="preserve">. </w:t>
      </w:r>
      <w:r>
        <w:rPr>
          <w:b/>
          <w:bCs/>
          <w:szCs w:val="18"/>
        </w:rPr>
        <w:t>2021</w:t>
      </w:r>
      <w:r>
        <w:rPr>
          <w:szCs w:val="18"/>
        </w:rPr>
        <w:t xml:space="preserve">, </w:t>
      </w:r>
      <w:r>
        <w:rPr>
          <w:i/>
          <w:iCs/>
          <w:szCs w:val="18"/>
        </w:rPr>
        <w:t>44</w:t>
      </w:r>
      <w:r>
        <w:rPr>
          <w:szCs w:val="18"/>
        </w:rPr>
        <w:t xml:space="preserve">, 562–572. </w:t>
      </w:r>
      <w:hyperlink r:id="rId67">
        <w:r>
          <w:rPr>
            <w:rStyle w:val="InternetLink"/>
            <w:szCs w:val="18"/>
          </w:rPr>
          <w:t>https://doi.org/10.1080/02533839.2021.1933598</w:t>
        </w:r>
      </w:hyperlink>
    </w:p>
    <w:p>
      <w:pPr>
        <w:pStyle w:val="MDPI81references"/>
        <w:numPr>
          <w:ilvl w:val="0"/>
          <w:numId w:val="40"/>
        </w:numPr>
        <w:ind w:left="425" w:hanging="425"/>
        <w:rPr/>
      </w:pPr>
      <w:r>
        <w:rPr/>
        <w:t xml:space="preserve">Jailani, N.L.M.; Dhanasegaran, J.K.; Alkawsi, G.; Alkahtani, A.A.; Phing, C.C.; Baashar, Y.; Capretz, L.F.; Al-Shetwi, A.Q.; Tiong, S.K. Investigating the Power of LSTM-Based Models in Solar Energy Forecasting. </w:t>
      </w:r>
      <w:r>
        <w:rPr>
          <w:i/>
          <w:iCs/>
        </w:rPr>
        <w:t>Processes</w:t>
      </w:r>
      <w:r>
        <w:rPr/>
        <w:t xml:space="preserve"> </w:t>
      </w:r>
      <w:r>
        <w:rPr>
          <w:b/>
          <w:bCs/>
        </w:rPr>
        <w:t>2023</w:t>
      </w:r>
      <w:r>
        <w:rPr/>
        <w:t xml:space="preserve">, </w:t>
      </w:r>
      <w:r>
        <w:rPr>
          <w:i/>
          <w:iCs/>
        </w:rPr>
        <w:t>11</w:t>
      </w:r>
      <w:r>
        <w:rPr/>
        <w:t>, 1382. https://doi.org/10.3390/pr11051382), 1382.</w:t>
      </w:r>
    </w:p>
    <w:p>
      <w:pPr>
        <w:pStyle w:val="MDPI81references"/>
        <w:numPr>
          <w:ilvl w:val="0"/>
          <w:numId w:val="41"/>
        </w:numPr>
        <w:ind w:left="425" w:hanging="425"/>
        <w:rPr/>
      </w:pPr>
      <w:r>
        <w:rPr/>
        <w:t xml:space="preserve">Dwivedi, R.; Dave, D.; Naik, H.; Singhal, S.; Omer, R.; Patel, P.; Qian, B.; Wen, Z.; Shah, T.; Morgan, G.; Ranjan, R. Explainable AI (XAI): Core Ideas, Techniques, and Solutions. </w:t>
      </w:r>
      <w:r>
        <w:rPr>
          <w:i/>
          <w:iCs/>
        </w:rPr>
        <w:t>ACM Comput. Surv</w:t>
      </w:r>
      <w:r>
        <w:rPr/>
        <w:t xml:space="preserve">. </w:t>
      </w:r>
      <w:r>
        <w:rPr>
          <w:b/>
          <w:bCs/>
        </w:rPr>
        <w:t>2023</w:t>
      </w:r>
      <w:r>
        <w:rPr/>
        <w:t xml:space="preserve">, </w:t>
      </w:r>
      <w:r>
        <w:rPr>
          <w:i/>
          <w:iCs/>
        </w:rPr>
        <w:t>55</w:t>
      </w:r>
      <w:r>
        <w:rPr/>
        <w:t xml:space="preserve">, 194. </w:t>
      </w:r>
      <w:hyperlink r:id="rId68">
        <w:r>
          <w:rPr>
            <w:rStyle w:val="InternetLink"/>
          </w:rPr>
          <w:t>https://doi.org/10.1145/3561048</w:t>
        </w:r>
      </w:hyperlink>
    </w:p>
    <w:p>
      <w:pPr>
        <w:pStyle w:val="MDPI81references"/>
        <w:numPr>
          <w:ilvl w:val="0"/>
          <w:numId w:val="42"/>
        </w:numPr>
        <w:ind w:left="425" w:hanging="425"/>
        <w:rPr/>
      </w:pPr>
      <w:r>
        <w:rPr/>
        <w:t xml:space="preserve">Gnjato, S.; Popov, T.; Gnjato R. Climate change impact on streamflows in Bosnia and Herzegovina: a case study of the lower Bosna river basin. Cent. Asian J. Geogr. Res. </w:t>
      </w:r>
      <w:r>
        <w:rPr>
          <w:b/>
          <w:bCs/>
        </w:rPr>
        <w:t>2025</w:t>
      </w:r>
      <w:r>
        <w:rPr/>
        <w:t xml:space="preserve">, </w:t>
      </w:r>
      <w:r>
        <w:rPr>
          <w:i/>
          <w:iCs/>
        </w:rPr>
        <w:t xml:space="preserve">1-2, </w:t>
      </w:r>
      <w:r>
        <w:rPr/>
        <w:t xml:space="preserve">95–101. </w:t>
      </w:r>
      <w:hyperlink r:id="rId69">
        <w:r>
          <w:rPr>
            <w:rStyle w:val="InternetLink"/>
          </w:rPr>
          <w:t>https://doi.org/10.5281/zenodo.15501323</w:t>
        </w:r>
      </w:hyperlink>
    </w:p>
    <w:p>
      <w:pPr>
        <w:pStyle w:val="MDPI81references"/>
        <w:numPr>
          <w:ilvl w:val="0"/>
          <w:numId w:val="43"/>
        </w:numPr>
        <w:ind w:left="425" w:hanging="425"/>
        <w:rPr/>
      </w:pPr>
      <w:r>
        <w:rPr/>
        <w:t xml:space="preserve">Gnjato, S.; Popov, T.; Ivanišević, M.; Trbić. G. Long-term streamflow trends in Bosnia and Herzegovina (BH). </w:t>
      </w:r>
      <w:r>
        <w:rPr>
          <w:i/>
          <w:iCs/>
        </w:rPr>
        <w:t>Environ. Earth Sci.</w:t>
      </w:r>
      <w:r>
        <w:rPr/>
        <w:t xml:space="preserve"> </w:t>
      </w:r>
      <w:r>
        <w:rPr>
          <w:b/>
          <w:bCs/>
        </w:rPr>
        <w:t>2023</w:t>
      </w:r>
      <w:r>
        <w:rPr/>
        <w:t xml:space="preserve">, </w:t>
      </w:r>
      <w:r>
        <w:rPr>
          <w:i/>
          <w:iCs/>
        </w:rPr>
        <w:t>82</w:t>
      </w:r>
      <w:r>
        <w:rPr/>
        <w:t xml:space="preserve">, 356. </w:t>
      </w:r>
      <w:hyperlink r:id="rId70">
        <w:r>
          <w:rPr>
            <w:rStyle w:val="InternetLink"/>
          </w:rPr>
          <w:t>https://doi.org/10.1007/s12665-023-11040-9</w:t>
        </w:r>
      </w:hyperlink>
    </w:p>
    <w:p>
      <w:pPr>
        <w:pStyle w:val="MDPI81references"/>
        <w:numPr>
          <w:ilvl w:val="0"/>
          <w:numId w:val="44"/>
        </w:numPr>
        <w:ind w:left="425" w:hanging="425"/>
        <w:rPr/>
      </w:pPr>
      <w:r>
        <w:rPr/>
        <w:t xml:space="preserve">Gnjato, S.; Popov, T.; Adžić, D.; Ivanišević, M.; Trbić, G.; Bajić, D. Influence of climate change on river discharges over the Sava river watershed in Bosnia and Herzegovina. </w:t>
      </w:r>
      <w:r>
        <w:rPr>
          <w:i/>
          <w:iCs/>
        </w:rPr>
        <w:t>Idöjárás</w:t>
      </w:r>
      <w:r>
        <w:rPr/>
        <w:t xml:space="preserve"> </w:t>
      </w:r>
      <w:r>
        <w:rPr>
          <w:b/>
          <w:bCs/>
        </w:rPr>
        <w:t>2021</w:t>
      </w:r>
      <w:r>
        <w:rPr/>
        <w:t xml:space="preserve">, </w:t>
      </w:r>
      <w:r>
        <w:rPr>
          <w:i/>
          <w:iCs/>
        </w:rPr>
        <w:t>125</w:t>
      </w:r>
      <w:r>
        <w:rPr/>
        <w:t xml:space="preserve">, 449–462. </w:t>
      </w:r>
      <w:hyperlink r:id="rId71">
        <w:r>
          <w:rPr>
            <w:rStyle w:val="InternetLink"/>
          </w:rPr>
          <w:t>https://doi.org/10.28974/idojaras.2021.3.5</w:t>
        </w:r>
      </w:hyperlink>
    </w:p>
    <w:p>
      <w:pPr>
        <w:pStyle w:val="MDPI81references"/>
        <w:numPr>
          <w:ilvl w:val="0"/>
          <w:numId w:val="45"/>
        </w:numPr>
        <w:ind w:left="425" w:hanging="425"/>
        <w:rPr/>
      </w:pPr>
      <w:r>
        <w:rPr/>
        <w:t xml:space="preserve">Breiman, L. Random forests. </w:t>
      </w:r>
      <w:r>
        <w:rPr>
          <w:i/>
          <w:iCs/>
        </w:rPr>
        <w:t>Mach. Learn</w:t>
      </w:r>
      <w:r>
        <w:rPr/>
        <w:t xml:space="preserve">. </w:t>
      </w:r>
      <w:r>
        <w:rPr>
          <w:b/>
          <w:bCs/>
        </w:rPr>
        <w:t>2001</w:t>
      </w:r>
      <w:r>
        <w:rPr/>
        <w:t xml:space="preserve">, </w:t>
      </w:r>
      <w:r>
        <w:rPr>
          <w:i/>
          <w:iCs/>
        </w:rPr>
        <w:t>45</w:t>
      </w:r>
      <w:r>
        <w:rPr/>
        <w:t xml:space="preserve">, 5–32. </w:t>
      </w:r>
      <w:hyperlink r:id="rId72">
        <w:r>
          <w:rPr>
            <w:rStyle w:val="InternetLink"/>
          </w:rPr>
          <w:t>https://doi.org/10.1023/A:1010933404324</w:t>
        </w:r>
      </w:hyperlink>
      <w:r>
        <w:rPr/>
        <w:t xml:space="preserve"> </w:t>
      </w:r>
    </w:p>
    <w:p>
      <w:pPr>
        <w:pStyle w:val="MDPI81references"/>
        <w:numPr>
          <w:ilvl w:val="0"/>
          <w:numId w:val="46"/>
        </w:numPr>
        <w:ind w:left="425" w:hanging="425"/>
        <w:rPr/>
      </w:pPr>
      <w:r>
        <w:rPr/>
        <w:t xml:space="preserve">Tyralis, H.; Papacharalampous, G.; Langousis, A. A brief review of randommforests for water scientists and practitioners and their recent history in water resources. </w:t>
      </w:r>
      <w:r>
        <w:rPr>
          <w:i/>
          <w:iCs/>
        </w:rPr>
        <w:t>Water</w:t>
      </w:r>
      <w:r>
        <w:rPr/>
        <w:t xml:space="preserve">, </w:t>
      </w:r>
      <w:r>
        <w:rPr>
          <w:b/>
          <w:bCs/>
        </w:rPr>
        <w:t>2019</w:t>
      </w:r>
      <w:r>
        <w:rPr/>
        <w:t xml:space="preserve">, </w:t>
      </w:r>
      <w:r>
        <w:rPr>
          <w:i/>
          <w:iCs/>
        </w:rPr>
        <w:t>11</w:t>
      </w:r>
      <w:r>
        <w:rPr/>
        <w:t xml:space="preserve">, 910. </w:t>
      </w:r>
      <w:hyperlink r:id="rId73">
        <w:r>
          <w:rPr>
            <w:rStyle w:val="InternetLink"/>
          </w:rPr>
          <w:t>https://doi.org/10.3390/w11050910</w:t>
        </w:r>
      </w:hyperlink>
      <w:r>
        <w:rPr/>
        <w:t xml:space="preserve"> </w:t>
      </w:r>
    </w:p>
    <w:p>
      <w:pPr>
        <w:pStyle w:val="MDPI81references"/>
        <w:numPr>
          <w:ilvl w:val="0"/>
          <w:numId w:val="47"/>
        </w:numPr>
        <w:ind w:left="425" w:hanging="425"/>
        <w:rPr/>
      </w:pPr>
      <w:r>
        <w:rPr/>
        <w:t xml:space="preserve">Yaseen, Z.M.; El-Shafie, A.; Jaafar, O.; Afan, H.A.; Sayl, K.N. Artificial intelligence based models for streamflow forecasting: 2000–2015. </w:t>
      </w:r>
      <w:r>
        <w:rPr>
          <w:i/>
          <w:iCs/>
        </w:rPr>
        <w:t>J. Hydrol</w:t>
      </w:r>
      <w:r>
        <w:rPr/>
        <w:t xml:space="preserve">. </w:t>
      </w:r>
      <w:r>
        <w:rPr>
          <w:b/>
          <w:bCs/>
        </w:rPr>
        <w:t>2018</w:t>
      </w:r>
      <w:r>
        <w:rPr/>
        <w:t xml:space="preserve">, </w:t>
      </w:r>
      <w:r>
        <w:rPr>
          <w:i/>
          <w:iCs/>
        </w:rPr>
        <w:t>530</w:t>
      </w:r>
      <w:r>
        <w:rPr/>
        <w:t xml:space="preserve">, 829–844. </w:t>
      </w:r>
      <w:hyperlink r:id="rId74">
        <w:r>
          <w:rPr>
            <w:rStyle w:val="InternetLink"/>
          </w:rPr>
          <w:t>https://doi.org/10.1016/j.jhydrol.2015.10.038</w:t>
        </w:r>
      </w:hyperlink>
    </w:p>
    <w:p>
      <w:pPr>
        <w:pStyle w:val="MDPI81references"/>
        <w:numPr>
          <w:ilvl w:val="0"/>
          <w:numId w:val="48"/>
        </w:numPr>
        <w:ind w:left="425" w:hanging="425"/>
        <w:rPr/>
      </w:pPr>
      <w:r>
        <w:rPr/>
        <w:t xml:space="preserve">Chen, T., &amp;amp; Guestrin, C. (2016). XGBoost: A scalable tree boosting system. In Proceedings of the 22nd ACM SIGKDD International Conference on Knowledge Discovery and Data Mining, San Francisko, California, USA, (13–17 August 2016) </w:t>
      </w:r>
      <w:hyperlink r:id="rId75">
        <w:r>
          <w:rPr>
            <w:rStyle w:val="InternetLink"/>
          </w:rPr>
          <w:t>https://doi.org/10.1145/2939672.2939785</w:t>
        </w:r>
      </w:hyperlink>
    </w:p>
    <w:p>
      <w:pPr>
        <w:pStyle w:val="MDPI81references"/>
        <w:numPr>
          <w:ilvl w:val="0"/>
          <w:numId w:val="49"/>
        </w:numPr>
        <w:ind w:left="425" w:hanging="425"/>
        <w:rPr/>
      </w:pPr>
      <w:r>
        <w:rPr/>
        <w:t xml:space="preserve">Le, X.-H.; Ho, H.V.; Lee, G.; Jung, S. Application of Long Short-Term Memory (LSTM) Neural Network for Flood Forecasting. </w:t>
      </w:r>
      <w:r>
        <w:rPr>
          <w:i/>
          <w:iCs/>
        </w:rPr>
        <w:t>Water</w:t>
      </w:r>
      <w:r>
        <w:rPr/>
        <w:t xml:space="preserve"> </w:t>
      </w:r>
      <w:r>
        <w:rPr>
          <w:b/>
          <w:bCs/>
        </w:rPr>
        <w:t>2019</w:t>
      </w:r>
      <w:r>
        <w:rPr/>
        <w:t xml:space="preserve">, </w:t>
      </w:r>
      <w:r>
        <w:rPr>
          <w:i/>
          <w:iCs/>
        </w:rPr>
        <w:t>11</w:t>
      </w:r>
      <w:r>
        <w:rPr/>
        <w:t>, 1387. https://doi.org/10.3390/w11071387</w:t>
      </w:r>
    </w:p>
    <w:p>
      <w:pPr>
        <w:pStyle w:val="MDPI81references"/>
        <w:numPr>
          <w:ilvl w:val="0"/>
          <w:numId w:val="50"/>
        </w:numPr>
        <w:ind w:left="425" w:hanging="425"/>
        <w:rPr/>
      </w:pPr>
      <w:r>
        <w:rPr/>
        <w:t xml:space="preserve">Yu, T-K.; Chang, I-C.; Chen, S-D.; Chen, H-L.; Yu, T-Y. Predicting potential soil and groundwater contamination risks from gas stations using three machine learning models (XGBoost, LightGBM, and Random Forest). Process Saf. Environ. Prot. 2025, 199, 107249. </w:t>
      </w:r>
      <w:hyperlink r:id="rId76">
        <w:r>
          <w:rPr>
            <w:rStyle w:val="InternetLink"/>
          </w:rPr>
          <w:t>https://doi.org/10.1016/j.psep.2025.107249</w:t>
        </w:r>
      </w:hyperlink>
    </w:p>
    <w:p>
      <w:pPr>
        <w:pStyle w:val="MDPI81references"/>
        <w:numPr>
          <w:ilvl w:val="0"/>
          <w:numId w:val="51"/>
        </w:numPr>
        <w:ind w:left="425" w:hanging="425"/>
        <w:rPr/>
      </w:pPr>
      <w:r>
        <w:rPr/>
        <w:t xml:space="preserve">Hochreiter, S.; Schmidhuber, J. Long short-term memory. </w:t>
      </w:r>
      <w:r>
        <w:rPr>
          <w:i/>
          <w:iCs/>
        </w:rPr>
        <w:t>Neural Comput</w:t>
      </w:r>
      <w:r>
        <w:rPr/>
        <w:t xml:space="preserve">. </w:t>
      </w:r>
      <w:r>
        <w:rPr>
          <w:b/>
          <w:bCs/>
        </w:rPr>
        <w:t>1997</w:t>
      </w:r>
      <w:r>
        <w:rPr/>
        <w:t xml:space="preserve">, </w:t>
      </w:r>
      <w:r>
        <w:rPr>
          <w:i/>
          <w:iCs/>
        </w:rPr>
        <w:t>9</w:t>
      </w:r>
      <w:r>
        <w:rPr/>
        <w:t xml:space="preserve">, 1735–1780. </w:t>
      </w:r>
      <w:hyperlink r:id="rId77">
        <w:r>
          <w:rPr>
            <w:rStyle w:val="InternetLink"/>
          </w:rPr>
          <w:t>https://doi.org/10.1162/neco.1997.9.8.1735</w:t>
        </w:r>
      </w:hyperlink>
      <w:r>
        <w:rPr/>
        <w:t xml:space="preserve"> </w:t>
      </w:r>
    </w:p>
    <w:p>
      <w:pPr>
        <w:pStyle w:val="MDPI81references"/>
        <w:numPr>
          <w:ilvl w:val="0"/>
          <w:numId w:val="52"/>
        </w:numPr>
        <w:ind w:left="425" w:hanging="425"/>
        <w:rPr/>
      </w:pPr>
      <w:r>
        <w:rPr/>
        <w:t xml:space="preserve">Kratzert, F.; Klotz, D.; Brenner, C.; Schulz, K.; Herrnegger, M. Rainfall–runoff modelling using Long Short-Term Memory (LSTM) networks. </w:t>
      </w:r>
      <w:r>
        <w:rPr>
          <w:i/>
          <w:iCs/>
        </w:rPr>
        <w:t>Hydrol. Earth Syst. Sci</w:t>
      </w:r>
      <w:r>
        <w:rPr/>
        <w:t xml:space="preserve">. </w:t>
      </w:r>
      <w:r>
        <w:rPr>
          <w:b/>
          <w:bCs/>
        </w:rPr>
        <w:t>2018</w:t>
      </w:r>
      <w:r>
        <w:rPr/>
        <w:t xml:space="preserve">, </w:t>
      </w:r>
      <w:r>
        <w:rPr>
          <w:i/>
          <w:iCs/>
        </w:rPr>
        <w:t>22</w:t>
      </w:r>
      <w:r>
        <w:rPr/>
        <w:t xml:space="preserve">, 6005–6022. </w:t>
      </w:r>
      <w:hyperlink r:id="rId78">
        <w:r>
          <w:rPr>
            <w:rStyle w:val="InternetLink"/>
          </w:rPr>
          <w:t>https://doi.org/10.5194/hess-22-6005-2018</w:t>
        </w:r>
      </w:hyperlink>
    </w:p>
    <w:p>
      <w:pPr>
        <w:pStyle w:val="MDPI81references"/>
        <w:numPr>
          <w:ilvl w:val="0"/>
          <w:numId w:val="53"/>
        </w:numPr>
        <w:ind w:left="425" w:hanging="425"/>
        <w:rPr/>
      </w:pPr>
      <w:r>
        <w:rPr/>
        <w:t xml:space="preserve">Shen, C. A transdisciplinary review of deep learning research and its relevance for water resources scientists. </w:t>
      </w:r>
      <w:r>
        <w:rPr>
          <w:i/>
          <w:iCs/>
        </w:rPr>
        <w:t>Water Resour. Res</w:t>
      </w:r>
      <w:r>
        <w:rPr/>
        <w:t xml:space="preserve">. </w:t>
      </w:r>
      <w:r>
        <w:rPr>
          <w:b/>
          <w:bCs/>
        </w:rPr>
        <w:t>2018</w:t>
      </w:r>
      <w:r>
        <w:rPr/>
        <w:t xml:space="preserve">, </w:t>
      </w:r>
      <w:r>
        <w:rPr>
          <w:i/>
          <w:iCs/>
        </w:rPr>
        <w:t>54</w:t>
      </w:r>
      <w:r>
        <w:rPr/>
        <w:t xml:space="preserve">, 8558–8593. </w:t>
      </w:r>
      <w:hyperlink r:id="rId79">
        <w:r>
          <w:rPr>
            <w:rStyle w:val="InternetLink"/>
          </w:rPr>
          <w:t>https://doi.org/10.1029/2018WR022643</w:t>
        </w:r>
      </w:hyperlink>
    </w:p>
    <w:p>
      <w:pPr>
        <w:pStyle w:val="MDPI81references"/>
        <w:numPr>
          <w:ilvl w:val="0"/>
          <w:numId w:val="0"/>
        </w:numPr>
        <w:ind w:left="425" w:hanging="425"/>
        <w:rPr/>
      </w:pPr>
      <w:r>
        <w:rPr/>
      </w:r>
    </w:p>
    <w:p>
      <w:pPr>
        <w:pStyle w:val="MDPI81references"/>
        <w:numPr>
          <w:ilvl w:val="0"/>
          <w:numId w:val="6"/>
        </w:numPr>
        <w:rPr>
          <w:highlight w:val="yellow"/>
          <w:lang w:val="en-GB"/>
        </w:rPr>
      </w:pPr>
      <w:r>
        <w:rPr>
          <w:highlight w:val="yellow"/>
          <w:lang w:val="en-GB"/>
        </w:rPr>
        <w:t xml:space="preserve">Kratzert, F., Klotz, D., Brenner, C., Schulz, K., &amp; Herrnegger, M. (2019). Rainfall–runoff modelling using Long Short-Term Memory (LSTM) networks. </w:t>
      </w:r>
      <w:r>
        <w:rPr>
          <w:i/>
          <w:iCs/>
          <w:highlight w:val="yellow"/>
          <w:lang w:val="en-GB"/>
        </w:rPr>
        <w:t>Hydrology and Earth System Sciences</w:t>
      </w:r>
      <w:r>
        <w:rPr>
          <w:highlight w:val="yellow"/>
          <w:lang w:val="en-GB"/>
        </w:rPr>
        <w:t xml:space="preserve">, 22(11), 6005–6022. </w:t>
      </w:r>
      <w:hyperlink r:id="rId80" w:tgtFrame="_blank">
        <w:r>
          <w:rPr>
            <w:rStyle w:val="InternetLink"/>
            <w:highlight w:val="yellow"/>
            <w:lang w:val="en-GB"/>
          </w:rPr>
          <w:t>https://doi.org/10.5194/hess-22-6005-2018</w:t>
        </w:r>
      </w:hyperlink>
    </w:p>
    <w:p>
      <w:pPr>
        <w:pStyle w:val="MDPI81references"/>
        <w:numPr>
          <w:ilvl w:val="0"/>
          <w:numId w:val="6"/>
        </w:numPr>
        <w:rPr>
          <w:highlight w:val="yellow"/>
          <w:lang w:val="en-GB"/>
        </w:rPr>
      </w:pPr>
      <w:r>
        <w:rPr>
          <w:highlight w:val="yellow"/>
          <w:lang w:val="en-GB"/>
        </w:rPr>
        <w:t xml:space="preserve">Blöschl, G., Bierkens, M. F. P., Chambel, A., Cudennec, C., Destouni, G., Fiori, A., … Zhang, Y. (2019). Twenty-three unsolved problems in hydrology (UPH) – a community perspective. Hydrological Sciences Journal, 64(10), 1141–1158. </w:t>
      </w:r>
      <w:hyperlink r:id="rId81">
        <w:r>
          <w:rPr>
            <w:rStyle w:val="InternetLink"/>
            <w:highlight w:val="yellow"/>
            <w:lang w:val="en-GB"/>
          </w:rPr>
          <w:t>https://doi.org/10.1080/02626667.2019.1620507</w:t>
        </w:r>
      </w:hyperlink>
    </w:p>
    <w:p>
      <w:pPr>
        <w:pStyle w:val="MDPI81references"/>
        <w:numPr>
          <w:ilvl w:val="0"/>
          <w:numId w:val="6"/>
        </w:numPr>
        <w:rPr>
          <w:highlight w:val="yellow"/>
          <w:lang w:val="en-GB"/>
        </w:rPr>
      </w:pPr>
      <w:r>
        <w:rPr>
          <w:highlight w:val="yellow"/>
          <w:lang w:val="en-GB"/>
        </w:rPr>
        <w:t xml:space="preserve">Feng, D., Fang, K., &amp; Shen, C. (2020). Enhancing streamflow forecast and extracting insights using long-short term memory networks with data integration at continental scales. Water Resources Research, 56, e2019WR026793. </w:t>
      </w:r>
      <w:hyperlink r:id="rId82">
        <w:r>
          <w:rPr>
            <w:rStyle w:val="InternetLink"/>
            <w:highlight w:val="yellow"/>
            <w:lang w:val="en-GB"/>
          </w:rPr>
          <w:t>https://doi.org/10.1029/2019WR026793</w:t>
        </w:r>
      </w:hyperlink>
    </w:p>
    <w:p>
      <w:pPr>
        <w:pStyle w:val="MDPI81references"/>
        <w:numPr>
          <w:ilvl w:val="0"/>
          <w:numId w:val="6"/>
        </w:numPr>
        <w:rPr>
          <w:highlight w:val="yellow"/>
          <w:lang w:val="en-GB"/>
        </w:rPr>
      </w:pPr>
      <w:r>
        <w:rPr>
          <w:highlight w:val="yellow"/>
          <w:lang w:val="en-GB"/>
        </w:rPr>
        <w:t xml:space="preserve">Mosavi, A., Ozturk, P., &amp; Chau, K.-W. (2018). Flood prediction using machine learning models: A systematic review. Water, 10(11), 1536. </w:t>
      </w:r>
      <w:hyperlink r:id="rId83">
        <w:r>
          <w:rPr>
            <w:rStyle w:val="InternetLink"/>
            <w:highlight w:val="yellow"/>
            <w:lang w:val="en-GB"/>
          </w:rPr>
          <w:t>https://doi.org/10.3390/w10111536</w:t>
        </w:r>
      </w:hyperlink>
      <w:r>
        <w:rPr>
          <w:highlight w:val="yellow"/>
          <w:lang w:val="en-GB"/>
        </w:rPr>
        <w:t xml:space="preserve"> </w:t>
      </w:r>
    </w:p>
    <w:p>
      <w:pPr>
        <w:pStyle w:val="MDPI81references"/>
        <w:numPr>
          <w:ilvl w:val="0"/>
          <w:numId w:val="6"/>
        </w:numPr>
        <w:rPr>
          <w:highlight w:val="yellow"/>
          <w:lang w:val="en-GB"/>
        </w:rPr>
      </w:pPr>
      <w:r>
        <w:rPr>
          <w:highlight w:val="yellow"/>
          <w:lang w:val="en-GB"/>
        </w:rPr>
        <w:t xml:space="preserve">Nearing, G. S., Kratzert, F., Sampson, A. K., Pelissier, C. S., Klotz, D., Frame, J. M., et al. (2021). What role does hydrological science play in the age of machine learning?. Water Resources Research, 57, e2020WR028091. </w:t>
      </w:r>
      <w:hyperlink r:id="rId84">
        <w:r>
          <w:rPr>
            <w:rStyle w:val="InternetLink"/>
            <w:highlight w:val="yellow"/>
            <w:lang w:val="en-GB"/>
          </w:rPr>
          <w:t>https://doi.org/10.1029/2020WR028091</w:t>
        </w:r>
      </w:hyperlink>
      <w:r>
        <w:rPr>
          <w:highlight w:val="yellow"/>
          <w:lang w:val="en-GB"/>
        </w:rPr>
        <w:t xml:space="preserve"> </w:t>
      </w:r>
    </w:p>
    <w:p>
      <w:pPr>
        <w:pStyle w:val="MDPI81references"/>
        <w:numPr>
          <w:ilvl w:val="0"/>
          <w:numId w:val="6"/>
        </w:numPr>
        <w:rPr>
          <w:highlight w:val="yellow"/>
          <w:lang w:val="en-GB"/>
        </w:rPr>
      </w:pPr>
      <w:r>
        <w:rPr>
          <w:highlight w:val="yellow"/>
          <w:lang w:val="en-GB"/>
        </w:rPr>
        <w:t xml:space="preserve">Shen, C. (2018). A transdisciplinary review of deep learning research and its relevance for water resources scientists. Water Resources Research, 54, 8558–8593. </w:t>
      </w:r>
      <w:hyperlink r:id="rId85">
        <w:r>
          <w:rPr>
            <w:rStyle w:val="InternetLink"/>
            <w:highlight w:val="yellow"/>
            <w:lang w:val="en-GB"/>
          </w:rPr>
          <w:t>https://doi.org/10.1029/2018WR022643</w:t>
        </w:r>
      </w:hyperlink>
      <w:r>
        <w:rPr>
          <w:highlight w:val="yellow"/>
          <w:lang w:val="en-GB"/>
        </w:rPr>
        <w:t xml:space="preserve"> </w:t>
      </w:r>
    </w:p>
    <w:p>
      <w:pPr>
        <w:pStyle w:val="MDPI81references"/>
        <w:numPr>
          <w:ilvl w:val="0"/>
          <w:numId w:val="6"/>
        </w:numPr>
        <w:rPr>
          <w:highlight w:val="yellow"/>
          <w:lang w:val="en-GB"/>
        </w:rPr>
      </w:pPr>
      <w:r>
        <w:rPr>
          <w:highlight w:val="yellow"/>
          <w:lang w:val="en-GB"/>
        </w:rPr>
        <w:t>Lin, Y., Wang, D., Jiang, T., &amp; Kang, A. (2024). Assessing Objective Functions in Streamflow Prediction Model Training Based on the Naïve Method. </w:t>
      </w:r>
      <w:r>
        <w:rPr>
          <w:i/>
          <w:iCs/>
          <w:highlight w:val="yellow"/>
          <w:lang w:val="en-GB"/>
        </w:rPr>
        <w:t>Water</w:t>
      </w:r>
      <w:r>
        <w:rPr>
          <w:highlight w:val="yellow"/>
          <w:lang w:val="en-GB"/>
        </w:rPr>
        <w:t>, </w:t>
      </w:r>
      <w:r>
        <w:rPr>
          <w:i/>
          <w:iCs/>
          <w:highlight w:val="yellow"/>
          <w:lang w:val="en-GB"/>
        </w:rPr>
        <w:t>16</w:t>
      </w:r>
      <w:r>
        <w:rPr>
          <w:highlight w:val="yellow"/>
          <w:lang w:val="en-GB"/>
        </w:rPr>
        <w:t xml:space="preserve">(5), 777. </w:t>
      </w:r>
      <w:hyperlink r:id="rId86">
        <w:r>
          <w:rPr>
            <w:rStyle w:val="InternetLink"/>
            <w:highlight w:val="yellow"/>
            <w:lang w:val="en-GB"/>
          </w:rPr>
          <w:t>https://doi.org/10.3390/w16050777</w:t>
        </w:r>
      </w:hyperlink>
    </w:p>
    <w:p>
      <w:pPr>
        <w:pStyle w:val="MDPI81references"/>
        <w:numPr>
          <w:ilvl w:val="0"/>
          <w:numId w:val="6"/>
        </w:numPr>
        <w:rPr>
          <w:highlight w:val="yellow"/>
          <w:lang w:val="en-GB"/>
        </w:rPr>
      </w:pPr>
      <w:r>
        <w:rPr>
          <w:highlight w:val="yellow"/>
          <w:lang w:val="en-GB"/>
        </w:rPr>
        <w:t>Knoben, W. J. M., Freer, J. E., and Woods, R. A.: Technical note: Inherent benchmark or not? Comparing Nash–Sutcliffe and Kling–Gupta efficiency scores, Hydrol. Earth Syst. Sci., 23, 4323–4331, https://doi.org/10.5194/hess-23-4323-2019, 2019.</w:t>
      </w:r>
    </w:p>
    <w:p>
      <w:pPr>
        <w:pStyle w:val="MDPI81references"/>
        <w:numPr>
          <w:ilvl w:val="0"/>
          <w:numId w:val="6"/>
        </w:numPr>
        <w:rPr>
          <w:highlight w:val="yellow"/>
          <w:lang w:val="en-GB"/>
        </w:rPr>
      </w:pPr>
      <w:r>
        <w:rPr>
          <w:highlight w:val="yellow"/>
          <w:lang w:val="en-GB"/>
        </w:rPr>
        <w:t>Kumar, V., Kedam, N., Sharma, K. V., Mehta, D. J., &amp; Caloiero, T. (2023). Advanced Machine Learning Techniques to Improve Hydrological Prediction: A Comparative Analysis of Streamflow Prediction Models. </w:t>
      </w:r>
      <w:r>
        <w:rPr>
          <w:i/>
          <w:iCs/>
          <w:highlight w:val="yellow"/>
          <w:lang w:val="en-GB"/>
        </w:rPr>
        <w:t>Water</w:t>
      </w:r>
      <w:r>
        <w:rPr>
          <w:highlight w:val="yellow"/>
          <w:lang w:val="en-GB"/>
        </w:rPr>
        <w:t>, </w:t>
      </w:r>
      <w:r>
        <w:rPr>
          <w:i/>
          <w:iCs/>
          <w:highlight w:val="yellow"/>
          <w:lang w:val="en-GB"/>
        </w:rPr>
        <w:t>15</w:t>
      </w:r>
      <w:r>
        <w:rPr>
          <w:highlight w:val="yellow"/>
          <w:lang w:val="en-GB"/>
        </w:rPr>
        <w:t xml:space="preserve">(14), 2572. </w:t>
      </w:r>
      <w:hyperlink r:id="rId87">
        <w:r>
          <w:rPr>
            <w:rStyle w:val="InternetLink"/>
            <w:highlight w:val="yellow"/>
            <w:lang w:val="en-GB"/>
          </w:rPr>
          <w:t>https://doi.org/10.3390/w15142572</w:t>
        </w:r>
      </w:hyperlink>
    </w:p>
    <w:p>
      <w:pPr>
        <w:pStyle w:val="MDPI81references"/>
        <w:numPr>
          <w:ilvl w:val="0"/>
          <w:numId w:val="6"/>
        </w:numPr>
        <w:rPr>
          <w:highlight w:val="yellow"/>
          <w:lang w:val="en-GB"/>
        </w:rPr>
      </w:pPr>
      <w:r>
        <w:rPr>
          <w:highlight w:val="yellow"/>
          <w:lang w:val="en-GB"/>
        </w:rPr>
        <w:t xml:space="preserve">Cheng, M., Fang, F., Kinouchi, T., Navon, I.M., Pain, C.C. (2020) Long lead-time daily and monthly streamflow forecasting using machine learning methods. Journal of Hydrology, Volume 590, November 2020, 125376. </w:t>
      </w:r>
      <w:hyperlink r:id="rId88">
        <w:r>
          <w:rPr>
            <w:rStyle w:val="InternetLink"/>
            <w:highlight w:val="yellow"/>
            <w:lang w:val="en-GB"/>
          </w:rPr>
          <w:t>https://doi.org/10.1016/j.jhydrol.2020.125376</w:t>
        </w:r>
      </w:hyperlink>
    </w:p>
    <w:p>
      <w:pPr>
        <w:pStyle w:val="MDPI81references"/>
        <w:numPr>
          <w:ilvl w:val="0"/>
          <w:numId w:val="6"/>
        </w:numPr>
        <w:rPr>
          <w:highlight w:val="yellow"/>
          <w:lang w:val="en-GB"/>
        </w:rPr>
      </w:pPr>
      <w:r>
        <w:rPr>
          <w:highlight w:val="yellow"/>
          <w:lang w:val="en-GB"/>
        </w:rPr>
        <w:t>Kumshe, U.M.M., Abdulhamid, Z.M., Mala, B.A. </w:t>
      </w:r>
      <w:r>
        <w:rPr>
          <w:i/>
          <w:iCs/>
          <w:highlight w:val="yellow"/>
          <w:lang w:val="en-GB"/>
        </w:rPr>
        <w:t>et al.</w:t>
      </w:r>
      <w:r>
        <w:rPr>
          <w:highlight w:val="yellow"/>
          <w:lang w:val="en-GB"/>
        </w:rPr>
        <w:t> Improving Short-term Daily Streamflow Forecasting Using an Autoencoder Based CNN-LSTM Model. </w:t>
      </w:r>
      <w:r>
        <w:rPr>
          <w:i/>
          <w:iCs/>
          <w:highlight w:val="yellow"/>
          <w:lang w:val="en-GB"/>
        </w:rPr>
        <w:t>Water Resour Manage</w:t>
      </w:r>
      <w:r>
        <w:rPr>
          <w:highlight w:val="yellow"/>
          <w:lang w:val="en-GB"/>
        </w:rPr>
        <w:t> </w:t>
      </w:r>
      <w:r>
        <w:rPr>
          <w:b/>
          <w:bCs/>
          <w:highlight w:val="yellow"/>
          <w:lang w:val="en-GB"/>
        </w:rPr>
        <w:t>38</w:t>
      </w:r>
      <w:r>
        <w:rPr>
          <w:highlight w:val="yellow"/>
          <w:lang w:val="en-GB"/>
        </w:rPr>
        <w:t xml:space="preserve">, 5973–5989 (2024). </w:t>
      </w:r>
      <w:hyperlink r:id="rId89">
        <w:r>
          <w:rPr>
            <w:rStyle w:val="InternetLink"/>
            <w:highlight w:val="yellow"/>
            <w:lang w:val="en-GB"/>
          </w:rPr>
          <w:t>https://doi.org/10.1007/s11269-024-03937-2</w:t>
        </w:r>
      </w:hyperlink>
    </w:p>
    <w:p>
      <w:pPr>
        <w:pStyle w:val="MDPI81references"/>
        <w:numPr>
          <w:ilvl w:val="0"/>
          <w:numId w:val="6"/>
        </w:numPr>
        <w:rPr>
          <w:highlight w:val="yellow"/>
          <w:lang w:val="en-GB"/>
        </w:rPr>
      </w:pPr>
      <w:r>
        <w:rPr>
          <w:highlight w:val="yellow"/>
          <w:lang w:val="en-GB"/>
        </w:rPr>
        <w:t>Rose, M.A.J., Chithra, N.R. Tree-based ensemble model prediction for hydrological drought in a tropical river basin of India. </w:t>
      </w:r>
      <w:r>
        <w:rPr>
          <w:i/>
          <w:iCs/>
          <w:highlight w:val="yellow"/>
          <w:lang w:val="en-GB"/>
        </w:rPr>
        <w:t>Int. J. Environ. Sci. Technol.</w:t>
      </w:r>
      <w:r>
        <w:rPr>
          <w:highlight w:val="yellow"/>
          <w:lang w:val="en-GB"/>
        </w:rPr>
        <w:t> </w:t>
      </w:r>
      <w:r>
        <w:rPr>
          <w:b/>
          <w:bCs/>
          <w:highlight w:val="yellow"/>
          <w:lang w:val="en-GB"/>
        </w:rPr>
        <w:t>20</w:t>
      </w:r>
      <w:r>
        <w:rPr>
          <w:highlight w:val="yellow"/>
          <w:lang w:val="en-GB"/>
        </w:rPr>
        <w:t xml:space="preserve">, 4973–4990 (2023). </w:t>
      </w:r>
      <w:hyperlink r:id="rId90">
        <w:r>
          <w:rPr>
            <w:rStyle w:val="InternetLink"/>
            <w:highlight w:val="yellow"/>
            <w:lang w:val="en-GB"/>
          </w:rPr>
          <w:t>https://doi.org/10.1007/s13762-022-04208-6</w:t>
        </w:r>
      </w:hyperlink>
    </w:p>
    <w:p>
      <w:pPr>
        <w:pStyle w:val="MDPI81references"/>
        <w:numPr>
          <w:ilvl w:val="0"/>
          <w:numId w:val="6"/>
        </w:numPr>
        <w:rPr>
          <w:highlight w:val="yellow"/>
          <w:lang w:val="en-GB"/>
        </w:rPr>
      </w:pPr>
      <w:r>
        <w:rPr>
          <w:highlight w:val="yellow"/>
          <w:lang w:val="en-GB"/>
        </w:rPr>
        <w:t>Schmidt, L., Heße, F., Attinger, S., &amp; Kumar, R. (2020). Challenges in applying machine learning models for hydrological inference: A case study for flooding events across Germany. </w:t>
      </w:r>
      <w:r>
        <w:rPr>
          <w:i/>
          <w:iCs/>
          <w:highlight w:val="yellow"/>
          <w:lang w:val="en-GB"/>
        </w:rPr>
        <w:t>Water Resources Research</w:t>
      </w:r>
      <w:r>
        <w:rPr>
          <w:highlight w:val="yellow"/>
          <w:lang w:val="en-GB"/>
        </w:rPr>
        <w:t>, 56, e2019WR025924. </w:t>
      </w:r>
      <w:hyperlink r:id="rId91">
        <w:r>
          <w:rPr>
            <w:rStyle w:val="InternetLink"/>
            <w:highlight w:val="yellow"/>
            <w:lang w:val="en-GB"/>
          </w:rPr>
          <w:t>https://doi.org/10.1029/2019WR025924</w:t>
        </w:r>
      </w:hyperlink>
    </w:p>
    <w:p>
      <w:pPr>
        <w:pStyle w:val="MDPI81references"/>
        <w:numPr>
          <w:ilvl w:val="0"/>
          <w:numId w:val="6"/>
        </w:numPr>
        <w:rPr>
          <w:highlight w:val="yellow"/>
          <w:lang w:val="en-GB"/>
        </w:rPr>
      </w:pPr>
      <w:r>
        <w:rPr>
          <w:highlight w:val="yellow"/>
          <w:lang w:val="en-GB"/>
        </w:rPr>
        <w:t>Li, K., Huang, G., and Baetz, B.: Development of a Wilks feature importance method with improved variable rankings for supporting hydrological inference and modelling, Hydrol. Earth Syst. Sci., 25, 4947–4966, https://doi.org/10.5194/hess-25-4947-2021, 2021.</w:t>
      </w:r>
    </w:p>
    <w:p>
      <w:pPr>
        <w:pStyle w:val="MDPI81references"/>
        <w:numPr>
          <w:ilvl w:val="0"/>
          <w:numId w:val="6"/>
        </w:numPr>
        <w:rPr>
          <w:highlight w:val="yellow"/>
          <w:lang w:val="en-GB"/>
        </w:rPr>
      </w:pPr>
      <w:r>
        <w:rPr>
          <w:highlight w:val="yellow"/>
          <w:lang w:val="en-GB"/>
        </w:rPr>
        <w:t xml:space="preserve">Feng, D., Fang, K., &amp; Shen, C. (2020). Enhancing streamflow forecast and extracting insights using long-short term memory networks with data integration at continental scales. Water Resources Research, 56, e2019WR026793. </w:t>
      </w:r>
      <w:hyperlink r:id="rId92">
        <w:r>
          <w:rPr>
            <w:rStyle w:val="InternetLink"/>
            <w:highlight w:val="yellow"/>
            <w:lang w:val="en-GB"/>
          </w:rPr>
          <w:t>https://doi.org/10.1029/2019WR026793</w:t>
        </w:r>
      </w:hyperlink>
      <w:r>
        <w:rPr>
          <w:highlight w:val="yellow"/>
          <w:lang w:val="en-GB"/>
        </w:rPr>
        <w:t xml:space="preserve"> </w:t>
      </w:r>
    </w:p>
    <w:p>
      <w:pPr>
        <w:pStyle w:val="MDPI81references"/>
        <w:numPr>
          <w:ilvl w:val="0"/>
          <w:numId w:val="0"/>
        </w:numPr>
        <w:ind w:left="425" w:hanging="0"/>
        <w:rPr/>
      </w:pPr>
      <w:r>
        <w:rPr/>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pPr>
        <w:pStyle w:val="MDPI63notes"/>
        <w:rPr/>
      </w:pPr>
      <w:r>
        <w:rPr/>
      </w:r>
    </w:p>
    <w:sectPr>
      <w:headerReference w:type="even" r:id="rId93"/>
      <w:headerReference w:type="default" r:id="rId94"/>
      <w:headerReference w:type="first" r:id="rId95"/>
      <w:footerReference w:type="even" r:id="rId96"/>
      <w:footerReference w:type="default" r:id="rId97"/>
      <w:footerReference w:type="first" r:id="rId98"/>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Palatino Linotype">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right"/>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Water</w:t>
    </w:r>
    <w:r>
      <w:rPr>
        <w:iCs/>
        <w:sz w:val="16"/>
        <w:szCs w:val="16"/>
      </w:rPr>
      <w:t xml:space="preserve"> </w:t>
    </w:r>
    <w:r>
      <w:rPr>
        <w:b/>
        <w:bCs/>
        <w:iCs/>
        <w:sz w:val="16"/>
        <w:szCs w:val="16"/>
      </w:rPr>
      <w:t>2026</w:t>
    </w:r>
    <w:r>
      <w:rPr>
        <w:bCs/>
        <w:iCs/>
        <w:sz w:val="16"/>
        <w:szCs w:val="16"/>
      </w:rPr>
      <w:t>,</w:t>
    </w:r>
    <w:r>
      <w:rPr>
        <w:bCs/>
        <w:i/>
        <w:iCs/>
        <w:sz w:val="16"/>
        <w:szCs w:val="16"/>
      </w:rPr>
      <w:t xml:space="preserve"> 18</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Water </w:t>
    </w:r>
    <w:r>
      <w:rPr>
        <w:b/>
        <w:sz w:val="16"/>
      </w:rPr>
      <w:t>2026</w:t>
    </w:r>
    <w:r>
      <w:rPr>
        <w:sz w:val="16"/>
      </w:rPr>
      <w:t>,</w:t>
    </w:r>
    <w:r>
      <w:rPr>
        <w:i/>
        <w:sz w:val="16"/>
      </w:rPr>
      <w:t xml:space="preserve"> 18</w:t>
    </w:r>
    <w:r>
      <w:rPr>
        <w:sz w:val="16"/>
      </w:rPr>
      <w:t>, x FOR PEER REVIEW</w:t>
      <w:tab/>
    </w:r>
    <w:r>
      <w:rPr>
        <w:sz w:val="16"/>
      </w:rPr>
      <w:fldChar w:fldCharType="begin"/>
    </w:r>
    <w:r>
      <w:rPr>
        <w:sz w:val="16"/>
      </w:rPr>
      <w:instrText xml:space="preserve"> PAGE </w:instrText>
    </w:r>
    <w:r>
      <w:rPr>
        <w:sz w:val="16"/>
      </w:rPr>
      <w:fldChar w:fldCharType="separate"/>
    </w:r>
    <w:r>
      <w:rPr>
        <w:sz w:val="16"/>
      </w:rPr>
      <w:t>23</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23</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677"/>
      <w:gridCol w:w="4537"/>
      <w:gridCol w:w="2273"/>
    </w:tblGrid>
    <w:tr>
      <w:trPr>
        <w:trHeight w:val="686" w:hRule="atLeast"/>
      </w:trPr>
      <w:tc>
        <w:tcPr>
          <w:tcW w:w="3677" w:type="dxa"/>
          <w:tcBorders/>
          <w:vAlign w:val="center"/>
        </w:tcPr>
        <w:p>
          <w:pPr>
            <w:pStyle w:val="Header"/>
            <w:widowControl w:val="false"/>
            <w:pBdr>
              <w:bottom w:val="nil"/>
            </w:pBdr>
            <w:jc w:val="left"/>
            <w:rPr>
              <w:rFonts w:eastAsia="DengXian"/>
              <w:b/>
              <w:b/>
              <w:bCs/>
            </w:rPr>
          </w:pPr>
          <w:r>
            <w:rPr/>
            <w:drawing>
              <wp:inline distT="0" distB="0" distL="0" distR="0">
                <wp:extent cx="1019175" cy="431800"/>
                <wp:effectExtent l="0" t="0" r="0" b="0"/>
                <wp:docPr id="2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
                        <pic:cNvPicPr>
                          <a:picLocks noChangeAspect="1" noChangeArrowheads="1"/>
                        </pic:cNvPicPr>
                      </pic:nvPicPr>
                      <pic:blipFill>
                        <a:blip r:embed="rId1"/>
                        <a:stretch>
                          <a:fillRect/>
                        </a:stretch>
                      </pic:blipFill>
                      <pic:spPr bwMode="auto">
                        <a:xfrm>
                          <a:off x="0" y="0"/>
                          <a:ext cx="1019175" cy="431800"/>
                        </a:xfrm>
                        <a:prstGeom prst="rect">
                          <a:avLst/>
                        </a:prstGeom>
                      </pic:spPr>
                    </pic:pic>
                  </a:graphicData>
                </a:graphic>
              </wp:inline>
            </w:drawing>
          </w:r>
        </w:p>
      </w:tc>
      <w:tc>
        <w:tcPr>
          <w:tcW w:w="4537" w:type="dxa"/>
          <w:tcBorders/>
          <w:vAlign w:val="center"/>
        </w:tcPr>
        <w:p>
          <w:pPr>
            <w:pStyle w:val="Header"/>
            <w:widowControl w:val="false"/>
            <w:pBdr>
              <w:bottom w:val="nil"/>
            </w:pBdr>
            <w:rPr>
              <w:rFonts w:eastAsia="DengXian"/>
              <w:b/>
              <w:b/>
              <w:bCs/>
            </w:rPr>
          </w:pPr>
          <w:r>
            <w:rPr>
              <w:rFonts w:eastAsia="DengXian"/>
              <w:b/>
              <w:bCs/>
            </w:rPr>
          </w:r>
        </w:p>
      </w:tc>
      <w:tc>
        <w:tcPr>
          <w:tcW w:w="2273" w:type="dxa"/>
          <w:tcBorders/>
          <w:vAlign w:val="center"/>
        </w:tcPr>
        <w:p>
          <w:pPr>
            <w:pStyle w:val="Header"/>
            <w:widowControl w:val="false"/>
            <w:pBdr>
              <w:bottom w:val="nil"/>
            </w:pBdr>
            <w:jc w:val="right"/>
            <w:rPr>
              <w:rFonts w:eastAsia="DengXian"/>
              <w:b/>
              <w:b/>
              <w:bCs/>
            </w:rPr>
          </w:pPr>
          <w:r>
            <w:rPr/>
            <w:drawing>
              <wp:inline distT="0" distB="0" distL="0" distR="0">
                <wp:extent cx="539750" cy="360045"/>
                <wp:effectExtent l="0" t="0" r="0" b="0"/>
                <wp:docPr id="2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6">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7"/>
    <w:lvlOverride w:ilvl="0">
      <w:startOverride w:val="1"/>
    </w:lvlOverride>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 w:numId="39">
    <w:abstractNumId w:val="7"/>
  </w:num>
  <w:num w:numId="40">
    <w:abstractNumId w:val="7"/>
  </w:num>
  <w:num w:numId="41">
    <w:abstractNumId w:val="7"/>
  </w:num>
  <w:num w:numId="42">
    <w:abstractNumId w:val="7"/>
  </w:num>
  <w:num w:numId="43">
    <w:abstractNumId w:val="7"/>
  </w:num>
  <w:num w:numId="44">
    <w:abstractNumId w:val="7"/>
  </w:num>
  <w:num w:numId="45">
    <w:abstractNumId w:val="7"/>
  </w:num>
  <w:num w:numId="46">
    <w:abstractNumId w:val="7"/>
  </w:num>
  <w:num w:numId="47">
    <w:abstractNumId w:val="7"/>
  </w:num>
  <w:num w:numId="48">
    <w:abstractNumId w:val="7"/>
  </w:num>
  <w:num w:numId="49">
    <w:abstractNumId w:val="7"/>
  </w:num>
  <w:num w:numId="50">
    <w:abstractNumId w:val="7"/>
  </w:num>
  <w:num w:numId="51">
    <w:abstractNumId w:val="7"/>
  </w:num>
  <w:num w:numId="52">
    <w:abstractNumId w:val="7"/>
  </w:num>
  <w:num w:numId="53">
    <w:abstractNumId w:val="7"/>
  </w:num>
</w:numbering>
</file>

<file path=word/settings.xml><?xml version="1.0" encoding="utf-8"?>
<w:settings xmlns:w="http://schemas.openxmlformats.org/wordprocessingml/2006/main">
  <w:zoom w:percent="16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4b1b"/>
    <w:pPr>
      <w:widowControl/>
      <w:suppressAutoHyphens w:val="false"/>
      <w:bidi w:val="0"/>
      <w:spacing w:lineRule="atLeast" w:line="280" w:before="0" w:after="0"/>
      <w:jc w:val="both"/>
    </w:pPr>
    <w:rPr>
      <w:rFonts w:ascii="Palatino Linotype" w:hAnsi="Palatino Linotype" w:eastAsia="SimSun" w:cs="Times New Roman"/>
      <w:color w:val="000000"/>
      <w:kern w:val="0"/>
      <w:sz w:val="20"/>
      <w:szCs w:val="20"/>
      <w:lang w:val="en-US" w:eastAsia="zh-CN" w:bidi="ar-SA"/>
    </w:rPr>
  </w:style>
  <w:style w:type="character" w:styleId="DefaultParagraphFont" w:default="1">
    <w:name w:val="Default Paragraph Font"/>
    <w:uiPriority w:val="1"/>
    <w:unhideWhenUsed/>
    <w:qFormat/>
    <w:rPr/>
  </w:style>
  <w:style w:type="character" w:styleId="FooterChar" w:customStyle="1">
    <w:name w:val="Footer Char"/>
    <w:link w:val="Footer"/>
    <w:uiPriority w:val="99"/>
    <w:qFormat/>
    <w:rsid w:val="00e94b1b"/>
    <w:rPr>
      <w:rFonts w:ascii="Palatino Linotype" w:hAnsi="Palatino Linotype"/>
      <w:color w:val="000000"/>
      <w:szCs w:val="18"/>
    </w:rPr>
  </w:style>
  <w:style w:type="character" w:styleId="HeaderChar" w:customStyle="1">
    <w:name w:val="Header Char"/>
    <w:link w:val="Header"/>
    <w:uiPriority w:val="99"/>
    <w:qFormat/>
    <w:rsid w:val="00e94b1b"/>
    <w:rPr>
      <w:rFonts w:ascii="Palatino Linotype" w:hAnsi="Palatino Linotype"/>
      <w:color w:val="000000"/>
      <w:szCs w:val="18"/>
    </w:rPr>
  </w:style>
  <w:style w:type="character" w:styleId="BalloonTextChar" w:customStyle="1">
    <w:name w:val="Balloon Text Char"/>
    <w:link w:val="BalloonText"/>
    <w:uiPriority w:val="99"/>
    <w:qFormat/>
    <w:rsid w:val="00e94b1b"/>
    <w:rPr>
      <w:rFonts w:ascii="Palatino Linotype" w:hAnsi="Palatino Linotype" w:cs="Tahoma"/>
      <w:color w:val="000000"/>
      <w:szCs w:val="18"/>
    </w:rPr>
  </w:style>
  <w:style w:type="character" w:styleId="Linenumber">
    <w:name w:val="line number"/>
    <w:uiPriority w:val="99"/>
    <w:qFormat/>
    <w:rsid w:val="00a90484"/>
    <w:rPr>
      <w:rFonts w:ascii="Palatino Linotype" w:hAnsi="Palatino Linotype"/>
      <w:sz w:val="16"/>
    </w:rPr>
  </w:style>
  <w:style w:type="character" w:styleId="InternetLink">
    <w:name w:val="Hyperlink"/>
    <w:uiPriority w:val="99"/>
    <w:rsid w:val="00e94b1b"/>
    <w:rPr>
      <w:color w:val="0000FF"/>
      <w:u w:val="single"/>
    </w:rPr>
  </w:style>
  <w:style w:type="character" w:styleId="UnresolvedMention">
    <w:name w:val="Unresolved Mention"/>
    <w:uiPriority w:val="99"/>
    <w:semiHidden/>
    <w:unhideWhenUsed/>
    <w:qFormat/>
    <w:rsid w:val="008c7940"/>
    <w:rPr>
      <w:color w:val="605E5C"/>
      <w:shd w:fill="E1DFDD" w:val="clear"/>
    </w:rPr>
  </w:style>
  <w:style w:type="character" w:styleId="Appleconvertedspace" w:customStyle="1">
    <w:name w:val="apple-converted-space"/>
    <w:qFormat/>
    <w:rsid w:val="00e94b1b"/>
    <w:rPr/>
  </w:style>
  <w:style w:type="character" w:styleId="BodyTextChar" w:customStyle="1">
    <w:name w:val="Body Text Char"/>
    <w:qFormat/>
    <w:rsid w:val="00e94b1b"/>
    <w:rPr>
      <w:rFonts w:ascii="Palatino Linotype" w:hAnsi="Palatino Linotype"/>
      <w:color w:val="000000"/>
      <w:sz w:val="24"/>
      <w:lang w:eastAsia="de-DE"/>
    </w:rPr>
  </w:style>
  <w:style w:type="character" w:styleId="Annotationreference">
    <w:name w:val="annotation reference"/>
    <w:qFormat/>
    <w:rsid w:val="00e94b1b"/>
    <w:rPr>
      <w:sz w:val="21"/>
      <w:szCs w:val="21"/>
    </w:rPr>
  </w:style>
  <w:style w:type="character" w:styleId="CommentTextChar" w:customStyle="1">
    <w:name w:val="Comment Text Char"/>
    <w:link w:val="Annotationtext"/>
    <w:qFormat/>
    <w:rsid w:val="00e94b1b"/>
    <w:rPr>
      <w:rFonts w:ascii="Palatino Linotype" w:hAnsi="Palatino Linotype"/>
      <w:color w:val="000000"/>
    </w:rPr>
  </w:style>
  <w:style w:type="character" w:styleId="CommentSubjectChar" w:customStyle="1">
    <w:name w:val="Comment Subject Char"/>
    <w:link w:val="Annotationsubject"/>
    <w:qFormat/>
    <w:rsid w:val="00e94b1b"/>
    <w:rPr>
      <w:rFonts w:ascii="Palatino Linotype" w:hAnsi="Palatino Linotype"/>
      <w:b/>
      <w:bCs/>
      <w:color w:val="000000"/>
    </w:rPr>
  </w:style>
  <w:style w:type="character" w:styleId="EndnoteCharacters">
    <w:name w:val="Endnote Characters"/>
    <w:qFormat/>
    <w:rsid w:val="00e94b1b"/>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e94b1b"/>
    <w:rPr>
      <w:rFonts w:ascii="Palatino Linotype" w:hAnsi="Palatino Linotype"/>
      <w:color w:val="000000"/>
    </w:rPr>
  </w:style>
  <w:style w:type="character" w:styleId="VisitedInternetLink">
    <w:name w:val="FollowedHyperlink"/>
    <w:rsid w:val="00e94b1b"/>
    <w:rPr>
      <w:color w:val="954F72"/>
      <w:u w:val="single"/>
    </w:rPr>
  </w:style>
  <w:style w:type="character" w:styleId="FootnoteTextChar" w:customStyle="1">
    <w:name w:val="Footnote Text Char"/>
    <w:link w:val="Footnote"/>
    <w:semiHidden/>
    <w:qFormat/>
    <w:rsid w:val="00e94b1b"/>
    <w:rPr>
      <w:rFonts w:ascii="Palatino Linotype" w:hAnsi="Palatino Linotype"/>
      <w:color w:val="000000"/>
    </w:rPr>
  </w:style>
  <w:style w:type="character" w:styleId="Pagenumber">
    <w:name w:val="page number"/>
    <w:qFormat/>
    <w:rsid w:val="00e94b1b"/>
    <w:rPr/>
  </w:style>
  <w:style w:type="character" w:styleId="PlaceholderText">
    <w:name w:val="Placeholder Text"/>
    <w:uiPriority w:val="99"/>
    <w:semiHidden/>
    <w:qFormat/>
    <w:rsid w:val="00e94b1b"/>
    <w:rPr>
      <w:color w:val="808080"/>
    </w:rPr>
  </w:style>
  <w:style w:type="character" w:styleId="Strong">
    <w:name w:val="Strong"/>
    <w:basedOn w:val="DefaultParagraphFont"/>
    <w:uiPriority w:val="22"/>
    <w:qFormat/>
    <w:rsid w:val="000c60ce"/>
    <w:rPr>
      <w:b/>
      <w:bCs/>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e94b1b"/>
    <w:pPr>
      <w:widowControl/>
      <w:suppressAutoHyphens w:val="true"/>
      <w:bidi w:val="0"/>
      <w:spacing w:lineRule="atLeast" w:line="340" w:before="0" w:after="120"/>
      <w:jc w:val="both"/>
    </w:pPr>
    <w:rPr>
      <w:rFonts w:ascii="Palatino Linotype" w:hAnsi="Palatino Linotype" w:eastAsia="SimSun" w:cs="Times New Roman"/>
      <w:color w:val="000000"/>
      <w:kern w:val="0"/>
      <w:sz w:val="24"/>
      <w:szCs w:val="20"/>
      <w:lang w:val="en-US" w:eastAsia="de-DE"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e94b1b"/>
    <w:pPr>
      <w:widowControl/>
      <w:suppressAutoHyphens w:val="true"/>
      <w:bidi w:val="0"/>
      <w:snapToGrid w:val="false"/>
      <w:spacing w:before="240" w:after="0"/>
      <w:jc w:val="left"/>
    </w:pPr>
    <w:rPr>
      <w:rFonts w:ascii="Palatino Linotype" w:hAnsi="Palatino Linotype" w:eastAsia="Times New Roman" w:cs="Times New Roman"/>
      <w:i/>
      <w:color w:val="000000"/>
      <w:kern w:val="0"/>
      <w:sz w:val="20"/>
      <w:szCs w:val="22"/>
      <w:lang w:val="en-US" w:eastAsia="de-DE" w:bidi="en-US"/>
    </w:rPr>
  </w:style>
  <w:style w:type="paragraph" w:styleId="MDPI12title" w:customStyle="1">
    <w:name w:val="MDPI_1.2_title"/>
    <w:next w:val="Normal"/>
    <w:qFormat/>
    <w:rsid w:val="00e94b1b"/>
    <w:pPr>
      <w:widowControl/>
      <w:suppressAutoHyphens w:val="true"/>
      <w:bidi w:val="0"/>
      <w:snapToGrid w:val="false"/>
      <w:spacing w:lineRule="atLeast" w:line="240" w:before="0" w:after="240"/>
      <w:jc w:val="left"/>
    </w:pPr>
    <w:rPr>
      <w:rFonts w:ascii="Palatino Linotype" w:hAnsi="Palatino Linotype" w:eastAsia="Times New Roman" w:cs="Times New Roman"/>
      <w:b/>
      <w:color w:val="000000"/>
      <w:kern w:val="0"/>
      <w:sz w:val="36"/>
      <w:szCs w:val="20"/>
      <w:lang w:val="en-US" w:eastAsia="de-DE" w:bidi="en-US"/>
    </w:rPr>
  </w:style>
  <w:style w:type="paragraph" w:styleId="MDPI13authornames" w:customStyle="1">
    <w:name w:val="MDPI_1.3_authornames"/>
    <w:next w:val="Normal"/>
    <w:qFormat/>
    <w:rsid w:val="00e94b1b"/>
    <w:pPr>
      <w:widowControl/>
      <w:suppressAutoHyphens w:val="true"/>
      <w:bidi w:val="0"/>
      <w:snapToGrid w:val="false"/>
      <w:spacing w:lineRule="atLeast" w:line="260" w:before="0" w:after="360"/>
      <w:jc w:val="left"/>
    </w:pPr>
    <w:rPr>
      <w:rFonts w:ascii="Palatino Linotype" w:hAnsi="Palatino Linotype" w:eastAsia="Times New Roman" w:cs="Times New Roman"/>
      <w:b/>
      <w:color w:val="000000"/>
      <w:kern w:val="0"/>
      <w:sz w:val="20"/>
      <w:szCs w:val="22"/>
      <w:lang w:val="en-US" w:eastAsia="de-DE" w:bidi="en-US"/>
    </w:rPr>
  </w:style>
  <w:style w:type="paragraph" w:styleId="MDPI14history" w:customStyle="1">
    <w:name w:val="MDPI_1.4_history"/>
    <w:basedOn w:val="Normal"/>
    <w:next w:val="Normal"/>
    <w:qFormat/>
    <w:rsid w:val="00e94b1b"/>
    <w:pPr>
      <w:snapToGrid w:val="false"/>
      <w:spacing w:lineRule="atLeast" w:line="240"/>
      <w:ind w:right="113" w:hanging="0"/>
      <w:jc w:val="left"/>
    </w:pPr>
    <w:rPr>
      <w:rFonts w:eastAsia="Times New Roman"/>
      <w:sz w:val="14"/>
      <w:lang w:eastAsia="de-DE" w:bidi="en-US"/>
    </w:rPr>
  </w:style>
  <w:style w:type="paragraph" w:styleId="MDPI16affiliation" w:customStyle="1">
    <w:name w:val="MDPI_1.6_affiliation"/>
    <w:qFormat/>
    <w:rsid w:val="00e94b1b"/>
    <w:pPr>
      <w:widowControl/>
      <w:suppressAutoHyphens w:val="true"/>
      <w:bidi w:val="0"/>
      <w:snapToGrid w:val="false"/>
      <w:spacing w:lineRule="atLeast" w:line="200" w:before="0" w:after="0"/>
      <w:ind w:left="2806" w:hanging="198"/>
      <w:jc w:val="left"/>
    </w:pPr>
    <w:rPr>
      <w:rFonts w:ascii="Palatino Linotype" w:hAnsi="Palatino Linotype" w:eastAsia="Times New Roman" w:cs="Times New Roman"/>
      <w:color w:val="000000"/>
      <w:kern w:val="0"/>
      <w:sz w:val="16"/>
      <w:szCs w:val="18"/>
      <w:lang w:val="en-US" w:eastAsia="de-DE" w:bidi="en-US"/>
    </w:rPr>
  </w:style>
  <w:style w:type="paragraph" w:styleId="MDPI17abstract" w:customStyle="1">
    <w:name w:val="MDPI_1.7_abstract"/>
    <w:next w:val="Normal"/>
    <w:qFormat/>
    <w:rsid w:val="00e94b1b"/>
    <w:pPr>
      <w:widowControl/>
      <w:suppressAutoHyphens w:val="true"/>
      <w:bidi w:val="0"/>
      <w:snapToGrid w:val="false"/>
      <w:spacing w:lineRule="atLeast" w:line="280" w:before="240" w:after="12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18keywords" w:customStyle="1">
    <w:name w:val="MDPI_1.8_keywords"/>
    <w:next w:val="Normal"/>
    <w:qFormat/>
    <w:rsid w:val="00e94b1b"/>
    <w:pPr>
      <w:widowControl/>
      <w:suppressAutoHyphens w:val="true"/>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19line" w:customStyle="1">
    <w:name w:val="MDPI_1.9_line"/>
    <w:qFormat/>
    <w:rsid w:val="00e94b1b"/>
    <w:pPr>
      <w:widowControl/>
      <w:pBdr>
        <w:bottom w:val="single" w:sz="6" w:space="1" w:color="000000"/>
      </w:pBdr>
      <w:suppressAutoHyphens w:val="true"/>
      <w:bidi w:val="0"/>
      <w:snapToGrid w:val="false"/>
      <w:spacing w:lineRule="atLeast" w:line="280" w:before="0" w:after="480"/>
      <w:ind w:left="2608" w:hanging="0"/>
      <w:jc w:val="both"/>
    </w:pPr>
    <w:rPr>
      <w:rFonts w:ascii="Palatino Linotype" w:hAnsi="Palatino Linotype" w:eastAsia="Times New Roman" w:cs="Cordia New"/>
      <w:color w:val="000000"/>
      <w:kern w:val="0"/>
      <w:sz w:val="20"/>
      <w:szCs w:val="24"/>
      <w:lang w:val="en-US" w:eastAsia="de-DE" w:bidi="en-US"/>
    </w:rPr>
  </w:style>
  <w:style w:type="paragraph" w:styleId="HeaderandFooter">
    <w:name w:val="Header and Footer"/>
    <w:basedOn w:val="Normal"/>
    <w:qFormat/>
    <w:pPr/>
    <w:rPr/>
  </w:style>
  <w:style w:type="paragraph" w:styleId="Footer">
    <w:name w:val="Footer"/>
    <w:basedOn w:val="Normal"/>
    <w:link w:val="FooterChar"/>
    <w:uiPriority w:val="99"/>
    <w:rsid w:val="00e94b1b"/>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e94b1b"/>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e94b1b"/>
    <w:pPr>
      <w:ind w:hanging="0"/>
    </w:pPr>
    <w:rPr/>
  </w:style>
  <w:style w:type="paragraph" w:styleId="MDPI31text" w:customStyle="1">
    <w:name w:val="MDPI_3.1_text"/>
    <w:qFormat/>
    <w:rsid w:val="008f0cf4"/>
    <w:pPr>
      <w:widowControl/>
      <w:suppressAutoHyphens w:val="true"/>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val="en-US" w:eastAsia="de-DE" w:bidi="en-US"/>
    </w:rPr>
  </w:style>
  <w:style w:type="paragraph" w:styleId="MDPI33textspaceafter" w:customStyle="1">
    <w:name w:val="MDPI_3.3_text_space_after"/>
    <w:qFormat/>
    <w:rsid w:val="00e94b1b"/>
    <w:pPr>
      <w:widowControl/>
      <w:suppressAutoHyphens w:val="true"/>
      <w:bidi w:val="0"/>
      <w:snapToGrid w:val="false"/>
      <w:spacing w:lineRule="atLeast" w:line="280" w:before="0" w:after="24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35textbeforelist" w:customStyle="1">
    <w:name w:val="MDPI_3.5_text_before_list"/>
    <w:qFormat/>
    <w:rsid w:val="00e94b1b"/>
    <w:pPr>
      <w:widowControl/>
      <w:suppressAutoHyphens w:val="true"/>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val="en-US" w:eastAsia="de-DE" w:bidi="en-US"/>
    </w:rPr>
  </w:style>
  <w:style w:type="paragraph" w:styleId="MDPI36textafterlist" w:customStyle="1">
    <w:name w:val="MDPI_3.6_text_after_list"/>
    <w:qFormat/>
    <w:rsid w:val="00e94b1b"/>
    <w:pPr>
      <w:widowControl/>
      <w:suppressAutoHyphens w:val="true"/>
      <w:bidi w:val="0"/>
      <w:snapToGrid w:val="false"/>
      <w:spacing w:lineRule="atLeast" w:line="280" w:before="12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37itemize" w:customStyle="1">
    <w:name w:val="MDPI_3.7_itemize"/>
    <w:qFormat/>
    <w:rsid w:val="00a21467"/>
    <w:pPr>
      <w:widowControl/>
      <w:numPr>
        <w:ilvl w:val="0"/>
        <w:numId w:val="5"/>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20"/>
      <w:szCs w:val="22"/>
      <w:lang w:val="en-US" w:eastAsia="de-DE" w:bidi="en-US"/>
    </w:rPr>
  </w:style>
  <w:style w:type="paragraph" w:styleId="MDPI38bullet" w:customStyle="1">
    <w:name w:val="MDPI_3.8_bullet"/>
    <w:qFormat/>
    <w:rsid w:val="00a21467"/>
    <w:pPr>
      <w:widowControl/>
      <w:numPr>
        <w:ilvl w:val="0"/>
        <w:numId w:val="3"/>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20"/>
      <w:szCs w:val="22"/>
      <w:lang w:val="en-US" w:eastAsia="de-DE" w:bidi="en-US"/>
    </w:rPr>
  </w:style>
  <w:style w:type="paragraph" w:styleId="MDPI39equation" w:customStyle="1">
    <w:name w:val="MDPI_3.9_equation"/>
    <w:qFormat/>
    <w:rsid w:val="00e94b1b"/>
    <w:pPr>
      <w:widowControl/>
      <w:suppressAutoHyphens w:val="true"/>
      <w:bidi w:val="0"/>
      <w:snapToGrid w:val="false"/>
      <w:spacing w:lineRule="atLeast" w:line="280" w:before="120" w:after="120"/>
      <w:ind w:left="709" w:hanging="0"/>
      <w:jc w:val="center"/>
    </w:pPr>
    <w:rPr>
      <w:rFonts w:ascii="Palatino Linotype" w:hAnsi="Palatino Linotype" w:eastAsia="Times New Roman" w:cs="Times New Roman"/>
      <w:color w:val="000000"/>
      <w:kern w:val="0"/>
      <w:sz w:val="20"/>
      <w:szCs w:val="22"/>
      <w:lang w:val="en-US" w:eastAsia="de-DE" w:bidi="en-US"/>
    </w:rPr>
  </w:style>
  <w:style w:type="paragraph" w:styleId="MDPI3aequationnumber" w:customStyle="1">
    <w:name w:val="MDPI_3.a_equation_number"/>
    <w:qFormat/>
    <w:rsid w:val="00e94b1b"/>
    <w:pPr>
      <w:widowControl/>
      <w:suppressAutoHyphens w:val="true"/>
      <w:bidi w:val="0"/>
      <w:spacing w:lineRule="atLeast" w:line="280" w:before="120" w:after="120"/>
      <w:jc w:val="right"/>
    </w:pPr>
    <w:rPr>
      <w:rFonts w:ascii="Palatino Linotype" w:hAnsi="Palatino Linotype" w:eastAsia="Times New Roman" w:cs="Times New Roman"/>
      <w:color w:val="000000"/>
      <w:kern w:val="0"/>
      <w:sz w:val="20"/>
      <w:szCs w:val="22"/>
      <w:lang w:val="en-US" w:eastAsia="de-DE" w:bidi="en-US"/>
    </w:rPr>
  </w:style>
  <w:style w:type="paragraph" w:styleId="MDPI41tablecaption" w:customStyle="1">
    <w:name w:val="MDPI_4.1_table_caption"/>
    <w:qFormat/>
    <w:rsid w:val="00e94b1b"/>
    <w:pPr>
      <w:widowControl/>
      <w:suppressAutoHyphens w:val="true"/>
      <w:bidi w:val="0"/>
      <w:snapToGrid w:val="false"/>
      <w:spacing w:lineRule="atLeast" w:line="280" w:before="240" w:after="120"/>
      <w:ind w:left="2608" w:hanging="0"/>
      <w:jc w:val="both"/>
    </w:pPr>
    <w:rPr>
      <w:rFonts w:ascii="Palatino Linotype" w:hAnsi="Palatino Linotype" w:eastAsia="Times New Roman" w:cs="Cordia New"/>
      <w:color w:val="000000"/>
      <w:kern w:val="0"/>
      <w:sz w:val="18"/>
      <w:szCs w:val="22"/>
      <w:lang w:val="en-US" w:eastAsia="de-DE" w:bidi="en-US"/>
    </w:rPr>
  </w:style>
  <w:style w:type="paragraph" w:styleId="MDPI42tablebody" w:customStyle="1">
    <w:name w:val="MDPI_4.2_table_body"/>
    <w:qFormat/>
    <w:rsid w:val="00f70c3b"/>
    <w:pPr>
      <w:widowControl/>
      <w:suppressAutoHyphens w:val="true"/>
      <w:bidi w:val="0"/>
      <w:snapToGrid w:val="false"/>
      <w:spacing w:lineRule="atLeast" w:line="260" w:before="0" w:after="0"/>
      <w:jc w:val="center"/>
    </w:pPr>
    <w:rPr>
      <w:rFonts w:ascii="Palatino Linotype" w:hAnsi="Palatino Linotype" w:eastAsia="Times New Roman" w:cs="Times New Roman"/>
      <w:color w:val="000000"/>
      <w:kern w:val="0"/>
      <w:sz w:val="20"/>
      <w:szCs w:val="20"/>
      <w:lang w:val="en-US" w:eastAsia="de-DE" w:bidi="en-US"/>
    </w:rPr>
  </w:style>
  <w:style w:type="paragraph" w:styleId="MDPI43tablefooter" w:customStyle="1">
    <w:name w:val="MDPI_4.3_table_footer"/>
    <w:next w:val="MDPI31text"/>
    <w:qFormat/>
    <w:rsid w:val="00e94b1b"/>
    <w:pPr>
      <w:widowControl/>
      <w:suppressAutoHyphens w:val="true"/>
      <w:bidi w:val="0"/>
      <w:snapToGrid w:val="false"/>
      <w:spacing w:lineRule="atLeast" w:line="280" w:before="0" w:after="0"/>
      <w:ind w:left="2608" w:hanging="0"/>
      <w:jc w:val="both"/>
    </w:pPr>
    <w:rPr>
      <w:rFonts w:ascii="Palatino Linotype" w:hAnsi="Palatino Linotype" w:eastAsia="Times New Roman" w:cs="Cordia New"/>
      <w:color w:val="000000"/>
      <w:kern w:val="0"/>
      <w:sz w:val="18"/>
      <w:szCs w:val="22"/>
      <w:lang w:val="en-US" w:eastAsia="de-DE" w:bidi="en-US"/>
    </w:rPr>
  </w:style>
  <w:style w:type="paragraph" w:styleId="MDPI51figurecaption" w:customStyle="1">
    <w:name w:val="MDPI_5.1_figure_caption"/>
    <w:qFormat/>
    <w:rsid w:val="00e94b1b"/>
    <w:pPr>
      <w:widowControl/>
      <w:suppressAutoHyphens w:val="true"/>
      <w:bidi w:val="0"/>
      <w:snapToGrid w:val="false"/>
      <w:spacing w:lineRule="atLeast" w:line="280" w:before="120" w:after="240"/>
      <w:ind w:left="2608" w:hanging="0"/>
      <w:jc w:val="both"/>
    </w:pPr>
    <w:rPr>
      <w:rFonts w:ascii="Palatino Linotype" w:hAnsi="Palatino Linotype" w:eastAsia="Times New Roman" w:cs="Times New Roman"/>
      <w:color w:val="000000"/>
      <w:kern w:val="0"/>
      <w:sz w:val="18"/>
      <w:szCs w:val="20"/>
      <w:lang w:val="en-US" w:eastAsia="de-DE" w:bidi="en-US"/>
    </w:rPr>
  </w:style>
  <w:style w:type="paragraph" w:styleId="MDPI52figure" w:customStyle="1">
    <w:name w:val="MDPI_5.2_figure"/>
    <w:qFormat/>
    <w:rsid w:val="00e94b1b"/>
    <w:pPr>
      <w:widowControl/>
      <w:suppressAutoHyphens w:val="true"/>
      <w:bidi w:val="0"/>
      <w:snapToGrid w:val="false"/>
      <w:spacing w:before="240" w:after="120"/>
      <w:jc w:val="center"/>
    </w:pPr>
    <w:rPr>
      <w:rFonts w:ascii="Palatino Linotype" w:hAnsi="Palatino Linotype" w:eastAsia="Times New Roman" w:cs="Times New Roman"/>
      <w:color w:val="000000"/>
      <w:kern w:val="0"/>
      <w:sz w:val="20"/>
      <w:szCs w:val="20"/>
      <w:lang w:val="en-US" w:eastAsia="de-DE" w:bidi="en-US"/>
    </w:rPr>
  </w:style>
  <w:style w:type="paragraph" w:styleId="MDPI23heading3" w:customStyle="1">
    <w:name w:val="MDPI_2.3_heading3"/>
    <w:qFormat/>
    <w:rsid w:val="00e94b1b"/>
    <w:pPr>
      <w:widowControl/>
      <w:suppressAutoHyphens w:val="true"/>
      <w:bidi w:val="0"/>
      <w:snapToGrid w:val="false"/>
      <w:spacing w:lineRule="atLeast" w:line="280" w:before="60" w:after="60"/>
      <w:ind w:left="2608" w:hanging="0"/>
      <w:jc w:val="left"/>
      <w:outlineLvl w:val="2"/>
    </w:pPr>
    <w:rPr>
      <w:rFonts w:ascii="Palatino Linotype" w:hAnsi="Palatino Linotype" w:eastAsia="Times New Roman" w:cs="Times New Roman"/>
      <w:color w:val="000000"/>
      <w:kern w:val="0"/>
      <w:sz w:val="20"/>
      <w:szCs w:val="22"/>
      <w:lang w:val="en-US" w:eastAsia="de-DE" w:bidi="en-US"/>
    </w:rPr>
  </w:style>
  <w:style w:type="paragraph" w:styleId="MDPI21heading1" w:customStyle="1">
    <w:name w:val="MDPI_2.1_heading1"/>
    <w:qFormat/>
    <w:rsid w:val="00e94b1b"/>
    <w:pPr>
      <w:widowControl/>
      <w:suppressAutoHyphens w:val="true"/>
      <w:bidi w:val="0"/>
      <w:snapToGrid w:val="false"/>
      <w:spacing w:lineRule="atLeast" w:line="280" w:before="240" w:after="60"/>
      <w:ind w:left="2608" w:hanging="0"/>
      <w:jc w:val="left"/>
      <w:outlineLvl w:val="0"/>
    </w:pPr>
    <w:rPr>
      <w:rFonts w:ascii="Palatino Linotype" w:hAnsi="Palatino Linotype" w:eastAsia="Times New Roman" w:cs="Times New Roman"/>
      <w:b/>
      <w:color w:val="000000"/>
      <w:kern w:val="0"/>
      <w:sz w:val="24"/>
      <w:szCs w:val="22"/>
      <w:lang w:val="en-US" w:eastAsia="de-DE" w:bidi="en-US"/>
    </w:rPr>
  </w:style>
  <w:style w:type="paragraph" w:styleId="MDPI22heading2" w:customStyle="1">
    <w:name w:val="MDPI_2.2_heading2"/>
    <w:qFormat/>
    <w:rsid w:val="00e94b1b"/>
    <w:pPr>
      <w:widowControl/>
      <w:suppressAutoHyphens w:val="true"/>
      <w:bidi w:val="0"/>
      <w:snapToGrid w:val="false"/>
      <w:spacing w:lineRule="atLeast" w:line="280" w:before="60" w:after="60"/>
      <w:ind w:left="2608" w:hanging="0"/>
      <w:jc w:val="left"/>
      <w:outlineLvl w:val="1"/>
    </w:pPr>
    <w:rPr>
      <w:rFonts w:ascii="Palatino Linotype" w:hAnsi="Palatino Linotype" w:eastAsia="Times New Roman" w:cs="Times New Roman"/>
      <w:i/>
      <w:color w:val="000000"/>
      <w:kern w:val="0"/>
      <w:sz w:val="20"/>
      <w:szCs w:val="22"/>
      <w:lang w:val="en-US" w:eastAsia="de-DE" w:bidi="en-US"/>
    </w:rPr>
  </w:style>
  <w:style w:type="paragraph" w:styleId="MDPI81references" w:customStyle="1">
    <w:name w:val="MDPI_8.1_references"/>
    <w:qFormat/>
    <w:rsid w:val="00ae6fcb"/>
    <w:pPr>
      <w:widowControl/>
      <w:numPr>
        <w:ilvl w:val="0"/>
        <w:numId w:val="6"/>
      </w:numPr>
      <w:suppressAutoHyphens w:val="true"/>
      <w:bidi w:val="0"/>
      <w:snapToGrid w:val="false"/>
      <w:spacing w:lineRule="atLeast" w:line="280" w:before="0" w:after="0"/>
      <w:jc w:val="both"/>
    </w:pPr>
    <w:rPr>
      <w:rFonts w:ascii="Palatino Linotype" w:hAnsi="Palatino Linotype" w:eastAsia="Times New Roman" w:cs="Times New Roman"/>
      <w:color w:val="000000"/>
      <w:kern w:val="0"/>
      <w:sz w:val="18"/>
      <w:szCs w:val="20"/>
      <w:lang w:val="en-US" w:eastAsia="de-DE" w:bidi="en-US"/>
    </w:rPr>
  </w:style>
  <w:style w:type="paragraph" w:styleId="BalloonText">
    <w:name w:val="Balloon Text"/>
    <w:basedOn w:val="Normal"/>
    <w:link w:val="BalloonTextChar"/>
    <w:uiPriority w:val="99"/>
    <w:qFormat/>
    <w:rsid w:val="00e94b1b"/>
    <w:pPr/>
    <w:rPr>
      <w:rFonts w:cs="Tahoma"/>
      <w:szCs w:val="18"/>
    </w:rPr>
  </w:style>
  <w:style w:type="paragraph" w:styleId="MDPI34textspacebefore" w:customStyle="1">
    <w:name w:val="MDPI_3.4_text_space_before"/>
    <w:qFormat/>
    <w:rsid w:val="00e94b1b"/>
    <w:pPr>
      <w:widowControl/>
      <w:suppressAutoHyphens w:val="true"/>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82theorem" w:customStyle="1">
    <w:name w:val="MDPI_8.2_theorem"/>
    <w:qFormat/>
    <w:rsid w:val="00e94b1b"/>
    <w:pPr>
      <w:widowControl/>
      <w:suppressAutoHyphens w:val="true"/>
      <w:bidi w:val="0"/>
      <w:snapToGrid w:val="false"/>
      <w:spacing w:lineRule="atLeast" w:line="280" w:before="0" w:after="0"/>
      <w:ind w:left="2608" w:hanging="0"/>
      <w:jc w:val="both"/>
    </w:pPr>
    <w:rPr>
      <w:rFonts w:ascii="Palatino Linotype" w:hAnsi="Palatino Linotype" w:eastAsia="Times New Roman" w:cs="Times New Roman"/>
      <w:i/>
      <w:color w:val="000000"/>
      <w:kern w:val="0"/>
      <w:sz w:val="20"/>
      <w:szCs w:val="22"/>
      <w:lang w:val="en-US" w:eastAsia="de-DE" w:bidi="en-US"/>
    </w:rPr>
  </w:style>
  <w:style w:type="paragraph" w:styleId="MDPI83proof" w:customStyle="1">
    <w:name w:val="MDPI_8.3_proof"/>
    <w:qFormat/>
    <w:rsid w:val="00e94b1b"/>
    <w:pPr>
      <w:widowControl/>
      <w:suppressAutoHyphens w:val="true"/>
      <w:bidi w:val="0"/>
      <w:snapToGrid w:val="false"/>
      <w:spacing w:lineRule="atLeast" w:line="280" w:before="0" w:after="0"/>
      <w:ind w:left="2608" w:hanging="0"/>
      <w:jc w:val="both"/>
    </w:pPr>
    <w:rPr>
      <w:rFonts w:ascii="Palatino Linotype" w:hAnsi="Palatino Linotype" w:eastAsia="Times New Roman" w:cs="Times New Roman"/>
      <w:color w:val="000000"/>
      <w:kern w:val="0"/>
      <w:sz w:val="20"/>
      <w:szCs w:val="22"/>
      <w:lang w:val="en-US" w:eastAsia="de-DE" w:bidi="en-US"/>
    </w:rPr>
  </w:style>
  <w:style w:type="paragraph" w:styleId="MDPI61citation" w:customStyle="1">
    <w:name w:val="MDPI_6.1_citation"/>
    <w:qFormat/>
    <w:rsid w:val="00e94b1b"/>
    <w:pPr>
      <w:widowControl/>
      <w:suppressAutoHyphens w:val="true"/>
      <w:bidi w:val="0"/>
      <w:snapToGrid w:val="false"/>
      <w:spacing w:lineRule="atLeast" w:line="240" w:before="120" w:after="120"/>
      <w:ind w:right="113" w:hanging="0"/>
      <w:jc w:val="left"/>
    </w:pPr>
    <w:rPr>
      <w:rFonts w:ascii="Palatino Linotype" w:hAnsi="Palatino Linotype" w:eastAsia="SimSun" w:cs="Cordia New"/>
      <w:color w:val="auto"/>
      <w:kern w:val="0"/>
      <w:sz w:val="14"/>
      <w:szCs w:val="22"/>
      <w:lang w:val="en-US" w:eastAsia="zh-CN" w:bidi="ar-SA"/>
    </w:rPr>
  </w:style>
  <w:style w:type="paragraph" w:styleId="MDPI62backmatter" w:customStyle="1">
    <w:name w:val="MDPI_6.2_back_matter"/>
    <w:qFormat/>
    <w:rsid w:val="00e94b1b"/>
    <w:pPr>
      <w:widowControl/>
      <w:suppressAutoHyphens w:val="true"/>
      <w:bidi w:val="0"/>
      <w:snapToGrid w:val="false"/>
      <w:spacing w:lineRule="atLeast" w:line="280" w:before="0" w:after="120"/>
      <w:ind w:left="2608" w:hanging="0"/>
      <w:jc w:val="both"/>
    </w:pPr>
    <w:rPr>
      <w:rFonts w:ascii="Palatino Linotype" w:hAnsi="Palatino Linotype" w:eastAsia="Times New Roman" w:cs="Times New Roman"/>
      <w:color w:val="000000"/>
      <w:kern w:val="0"/>
      <w:sz w:val="18"/>
      <w:szCs w:val="20"/>
      <w:lang w:val="en-US" w:eastAsia="en-US" w:bidi="en-US"/>
    </w:rPr>
  </w:style>
  <w:style w:type="paragraph" w:styleId="MDPI63notes" w:customStyle="1">
    <w:name w:val="MDPI_6.3_notes"/>
    <w:qFormat/>
    <w:rsid w:val="00e94b1b"/>
    <w:pPr>
      <w:widowControl/>
      <w:suppressAutoHyphens w:val="true"/>
      <w:bidi w:val="0"/>
      <w:snapToGrid w:val="false"/>
      <w:spacing w:lineRule="atLeast" w:line="280" w:before="240" w:after="0"/>
      <w:jc w:val="both"/>
    </w:pPr>
    <w:rPr>
      <w:rFonts w:ascii="Palatino Linotype" w:hAnsi="Palatino Linotype" w:eastAsia="SimSun" w:cs="Times New Roman"/>
      <w:color w:val="000000"/>
      <w:kern w:val="0"/>
      <w:sz w:val="18"/>
      <w:szCs w:val="20"/>
      <w:lang w:val="en-US" w:eastAsia="en-US" w:bidi="en-US"/>
    </w:rPr>
  </w:style>
  <w:style w:type="paragraph" w:styleId="MDPI15academiceditor" w:customStyle="1">
    <w:name w:val="MDPI_1.5_academic_editor"/>
    <w:qFormat/>
    <w:rsid w:val="00d86e97"/>
    <w:pPr>
      <w:widowControl/>
      <w:suppressAutoHyphens w:val="true"/>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2"/>
      <w:lang w:val="en-US" w:eastAsia="de-DE" w:bidi="en-US"/>
    </w:rPr>
  </w:style>
  <w:style w:type="paragraph" w:styleId="MDPI411onetablecaption" w:customStyle="1">
    <w:name w:val="MDPI_4.1.1_one_table_caption"/>
    <w:qFormat/>
    <w:rsid w:val="00e94b1b"/>
    <w:pPr>
      <w:widowControl/>
      <w:suppressAutoHyphens w:val="true"/>
      <w:bidi w:val="0"/>
      <w:snapToGrid w:val="false"/>
      <w:spacing w:lineRule="atLeast" w:line="280" w:before="240" w:after="120"/>
      <w:jc w:val="center"/>
    </w:pPr>
    <w:rPr>
      <w:rFonts w:ascii="Palatino Linotype" w:hAnsi="Palatino Linotype" w:eastAsia="SimSun" w:cs="Cordia New"/>
      <w:color w:val="000000"/>
      <w:kern w:val="0"/>
      <w:sz w:val="18"/>
      <w:szCs w:val="22"/>
      <w:lang w:val="en-US" w:eastAsia="zh-CN" w:bidi="en-US"/>
    </w:rPr>
  </w:style>
  <w:style w:type="paragraph" w:styleId="MDPI511onefigurecaption" w:customStyle="1">
    <w:name w:val="MDPI_5.1.1_one_figure_caption"/>
    <w:qFormat/>
    <w:rsid w:val="00e94b1b"/>
    <w:pPr>
      <w:widowControl/>
      <w:suppressAutoHyphens w:val="true"/>
      <w:bidi w:val="0"/>
      <w:snapToGrid w:val="false"/>
      <w:spacing w:lineRule="atLeast" w:line="280" w:before="240" w:after="120"/>
      <w:jc w:val="center"/>
    </w:pPr>
    <w:rPr>
      <w:rFonts w:ascii="Palatino Linotype" w:hAnsi="Palatino Linotype" w:eastAsia="SimSun" w:cs="Times New Roman"/>
      <w:color w:val="000000"/>
      <w:kern w:val="0"/>
      <w:sz w:val="18"/>
      <w:szCs w:val="20"/>
      <w:lang w:val="en-US" w:eastAsia="zh-CN" w:bidi="en-US"/>
    </w:rPr>
  </w:style>
  <w:style w:type="paragraph" w:styleId="MDPI72copyright" w:customStyle="1">
    <w:name w:val="MDPI_7.2_copyright"/>
    <w:qFormat/>
    <w:rsid w:val="00cd3cfb"/>
    <w:pPr>
      <w:widowControl/>
      <w:suppressAutoHyphens w:val="true"/>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e94b1b"/>
    <w:pPr/>
    <w:rPr/>
  </w:style>
  <w:style w:type="paragraph" w:styleId="Annotationtext">
    <w:name w:val="annotation text"/>
    <w:basedOn w:val="Normal"/>
    <w:link w:val="CommentTextChar"/>
    <w:qFormat/>
    <w:rsid w:val="00e94b1b"/>
    <w:pPr/>
    <w:rPr/>
  </w:style>
  <w:style w:type="paragraph" w:styleId="Annotationsubject">
    <w:name w:val="annotation subject"/>
    <w:basedOn w:val="Annotationtext"/>
    <w:next w:val="Annotationtext"/>
    <w:link w:val="CommentSubjectChar"/>
    <w:qFormat/>
    <w:rsid w:val="00e94b1b"/>
    <w:pPr/>
    <w:rPr>
      <w:b/>
      <w:bCs/>
    </w:rPr>
  </w:style>
  <w:style w:type="paragraph" w:styleId="Endnote">
    <w:name w:val="Endnote Text"/>
    <w:basedOn w:val="Normal"/>
    <w:link w:val="EndnoteTextChar"/>
    <w:semiHidden/>
    <w:unhideWhenUsed/>
    <w:rsid w:val="00e94b1b"/>
    <w:pPr>
      <w:spacing w:lineRule="auto" w:line="240"/>
    </w:pPr>
    <w:rPr/>
  </w:style>
  <w:style w:type="paragraph" w:styleId="Footnote">
    <w:name w:val="Footnote Text"/>
    <w:basedOn w:val="Normal"/>
    <w:link w:val="FootnoteTextChar"/>
    <w:semiHidden/>
    <w:unhideWhenUsed/>
    <w:rsid w:val="00e94b1b"/>
    <w:pPr>
      <w:spacing w:lineRule="auto" w:line="240"/>
    </w:pPr>
    <w:rPr/>
  </w:style>
  <w:style w:type="paragraph" w:styleId="NormalWeb">
    <w:name w:val="Normal (Web)"/>
    <w:basedOn w:val="Normal"/>
    <w:uiPriority w:val="99"/>
    <w:qFormat/>
    <w:rsid w:val="00e94b1b"/>
    <w:pPr/>
    <w:rPr>
      <w:szCs w:val="24"/>
    </w:rPr>
  </w:style>
  <w:style w:type="paragraph" w:styleId="MsoFootnoteText" w:customStyle="1">
    <w:name w:val="MsoFootnoteText"/>
    <w:basedOn w:val="NormalWeb"/>
    <w:qFormat/>
    <w:rsid w:val="00e94b1b"/>
    <w:pPr/>
    <w:rPr>
      <w:rFonts w:ascii="Times New Roman" w:hAnsi="Times New Roman"/>
    </w:rPr>
  </w:style>
  <w:style w:type="paragraph" w:styleId="MDPI71footnotes" w:customStyle="1">
    <w:name w:val="MDPI_7.1_footnotes"/>
    <w:qFormat/>
    <w:rsid w:val="003204c4"/>
    <w:pPr>
      <w:widowControl/>
      <w:numPr>
        <w:ilvl w:val="0"/>
        <w:numId w:val="4"/>
      </w:numPr>
      <w:suppressAutoHyphens w:val="true"/>
      <w:bidi w:val="0"/>
      <w:snapToGrid w:val="false"/>
      <w:spacing w:lineRule="atLeast" w:line="280" w:before="0" w:after="0"/>
      <w:jc w:val="left"/>
    </w:pPr>
    <w:rPr>
      <w:rFonts w:ascii="Palatino Linotype" w:hAnsi="Palatino Linotype" w:eastAsia="等线" w:cs="Times New Roman" w:eastAsiaTheme="minorEastAsia"/>
      <w:color w:val="000000"/>
      <w:kern w:val="0"/>
      <w:sz w:val="18"/>
      <w:szCs w:val="20"/>
      <w:lang w:val="en-US" w:eastAsia="zh-CN" w:bidi="ar-SA"/>
    </w:rPr>
  </w:style>
  <w:style w:type="paragraph" w:styleId="ListParagraph">
    <w:name w:val="List Paragraph"/>
    <w:basedOn w:val="Normal"/>
    <w:uiPriority w:val="34"/>
    <w:qFormat/>
    <w:rsid w:val="00394dc2"/>
    <w:pPr>
      <w:spacing w:before="0" w:after="0"/>
      <w:ind w:left="720" w:hanging="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746129"/>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e94b1b"/>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e94b1b"/>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6f6be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e94b1b"/>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hyperlink" Target="mailto:slobodan.gnjato@pmf.unibl.org" TargetMode="External"/><Relationship Id="rId4" Type="http://schemas.openxmlformats.org/officeDocument/2006/relationships/hyperlink" Target="mailto:lescesen@uh.savba.sk" TargetMode="External"/><Relationship Id="rId5" Type="http://schemas.openxmlformats.org/officeDocument/2006/relationships/hyperlink" Target="" TargetMode="External"/><Relationship Id="rId6" Type="http://schemas.openxmlformats.org/officeDocument/2006/relationships/hyperlink" Target="mailto:marko.dukanovic@ung.si" TargetMode="External"/><Relationship Id="rId7" Type="http://schemas.openxmlformats.org/officeDocument/2006/relationships/hyperlink" Target="" TargetMode="External"/><Relationship Id="rId8" Type="http://schemas.openxmlformats.org/officeDocument/2006/relationships/image" Target="media/image1.wmf"/><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diagramData" Target="diagrams/data13.xml"/><Relationship Id="rId21" Type="http://schemas.openxmlformats.org/officeDocument/2006/relationships/diagramLayout" Target="diagrams/layout13.xml"/><Relationship Id="rId22" Type="http://schemas.openxmlformats.org/officeDocument/2006/relationships/diagramQuickStyle" Target="diagrams/quickStyle13.xml"/><Relationship Id="rId23" Type="http://schemas.openxmlformats.org/officeDocument/2006/relationships/diagramColors" Target="diagrams/colors13.xml"/><Relationship Id="rId24" Type="http://schemas.microsoft.com/office/2007/relationships/diagramDrawing" Target="diagrams/drawing13.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18.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hyperlink" Target="https://img.mdpi.org/data/contributor-role-instruction.pdf" TargetMode="External"/><Relationship Id="rId38" Type="http://schemas.openxmlformats.org/officeDocument/2006/relationships/hyperlink" Target="https://doi.org/10.1007/s42452-024-06083-x" TargetMode="External"/><Relationship Id="rId39" Type="http://schemas.openxmlformats.org/officeDocument/2006/relationships/hyperlink" Target="https://doi.org/10.1016/j.ejrh.2025.102549" TargetMode="External"/><Relationship Id="rId40" Type="http://schemas.openxmlformats.org/officeDocument/2006/relationships/hyperlink" Target="https://doi.org/10.2166/hydro.2024.061" TargetMode="External"/><Relationship Id="rId41" Type="http://schemas.openxmlformats.org/officeDocument/2006/relationships/hyperlink" Target="https://doi.org/10.1038/s41598-024-78012-2" TargetMode="External"/><Relationship Id="rId42" Type="http://schemas.openxmlformats.org/officeDocument/2006/relationships/hyperlink" Target="https://doi.org/10.1007/s13201-025-02632-w" TargetMode="External"/><Relationship Id="rId43" Type="http://schemas.openxmlformats.org/officeDocument/2006/relationships/hyperlink" Target="https://doi.org/10.2166/wpt.2025.153" TargetMode="External"/><Relationship Id="rId44" Type="http://schemas.openxmlformats.org/officeDocument/2006/relationships/hyperlink" Target="https://doi.org/10.1016/j.jhydrol.2020.124901" TargetMode="External"/><Relationship Id="rId45" Type="http://schemas.openxmlformats.org/officeDocument/2006/relationships/hyperlink" Target="https://doi.org/10.1016/j.rineng.2024.102215" TargetMode="External"/><Relationship Id="rId46" Type="http://schemas.openxmlformats.org/officeDocument/2006/relationships/hyperlink" Target="https://doi.org/10.3390/earth6030064" TargetMode="External"/><Relationship Id="rId47" Type="http://schemas.openxmlformats.org/officeDocument/2006/relationships/hyperlink" Target="https://doi.org/10.1029/2019WR026793" TargetMode="External"/><Relationship Id="rId48" Type="http://schemas.openxmlformats.org/officeDocument/2006/relationships/hyperlink" Target="https://doi.org/10.1016/S0022-1694(98)00242-X" TargetMode="External"/><Relationship Id="rId49" Type="http://schemas.openxmlformats.org/officeDocument/2006/relationships/hyperlink" Target="https://doi.org/10.3390/w10050628" TargetMode="External"/><Relationship Id="rId50" Type="http://schemas.openxmlformats.org/officeDocument/2006/relationships/hyperlink" Target="https://doi.org/10.1080/02626667.2015.1055271" TargetMode="External"/><Relationship Id="rId51" Type="http://schemas.openxmlformats.org/officeDocument/2006/relationships/hyperlink" Target="https://doi.org/10.5194/hess-26-5449-2022" TargetMode="External"/><Relationship Id="rId52" Type="http://schemas.openxmlformats.org/officeDocument/2006/relationships/hyperlink" Target="https://doi.org/10.3390/w17060907" TargetMode="External"/><Relationship Id="rId53" Type="http://schemas.openxmlformats.org/officeDocument/2006/relationships/hyperlink" Target="https://doi.org/10.2166/hydro.2025.276" TargetMode="External"/><Relationship Id="rId54" Type="http://schemas.openxmlformats.org/officeDocument/2006/relationships/hyperlink" Target="https://doi.org/10.1016/j.jhydrol.2022.127515" TargetMode="External"/><Relationship Id="rId55" Type="http://schemas.openxmlformats.org/officeDocument/2006/relationships/hyperlink" Target="https://doi.org/10.3390/hydrology12070168" TargetMode="External"/><Relationship Id="rId56" Type="http://schemas.openxmlformats.org/officeDocument/2006/relationships/hyperlink" Target="https://doi.org/10.3390/w7052494" TargetMode="External"/><Relationship Id="rId57" Type="http://schemas.openxmlformats.org/officeDocument/2006/relationships/hyperlink" Target="https://doi.org/10.1007/s13201-024-02135-0" TargetMode="External"/><Relationship Id="rId58" Type="http://schemas.openxmlformats.org/officeDocument/2006/relationships/hyperlink" Target="https://doi.org/10.5194/hess-25-2997-2021" TargetMode="External"/><Relationship Id="rId59" Type="http://schemas.openxmlformats.org/officeDocument/2006/relationships/hyperlink" Target="https://doi.org/10.3934/environsci.2024029" TargetMode="External"/><Relationship Id="rId60" Type="http://schemas.openxmlformats.org/officeDocument/2006/relationships/hyperlink" Target="https://doi.org/10.3390/w15142572" TargetMode="External"/><Relationship Id="rId61" Type="http://schemas.openxmlformats.org/officeDocument/2006/relationships/hyperlink" Target="https://doi.org/10.1080/15715124.2023.2245809" TargetMode="External"/><Relationship Id="rId62" Type="http://schemas.openxmlformats.org/officeDocument/2006/relationships/hyperlink" Target="https://doi.org/10.1007/s12145-023-01139-9" TargetMode="External"/><Relationship Id="rId63" Type="http://schemas.openxmlformats.org/officeDocument/2006/relationships/hyperlink" Target="https://doi.org/10.3390/w17162420" TargetMode="External"/><Relationship Id="rId64" Type="http://schemas.openxmlformats.org/officeDocument/2006/relationships/hyperlink" Target="https://doi.org/10.3390/w11071387" TargetMode="External"/><Relationship Id="rId65" Type="http://schemas.openxmlformats.org/officeDocument/2006/relationships/hyperlink" Target="https://doi.org/10.3390/ai5040101" TargetMode="External"/><Relationship Id="rId66" Type="http://schemas.openxmlformats.org/officeDocument/2006/relationships/hyperlink" Target="https://doi.org/10.1016/j.jhydrol.2025.133323" TargetMode="External"/><Relationship Id="rId67" Type="http://schemas.openxmlformats.org/officeDocument/2006/relationships/hyperlink" Target="https://doi.org/10.1080/02533839.2021.1933598" TargetMode="External"/><Relationship Id="rId68" Type="http://schemas.openxmlformats.org/officeDocument/2006/relationships/hyperlink" Target="https://doi.org/10.1145/3561048" TargetMode="External"/><Relationship Id="rId69" Type="http://schemas.openxmlformats.org/officeDocument/2006/relationships/hyperlink" Target="https://doi.org/10.5281/zenodo.15501323" TargetMode="External"/><Relationship Id="rId70" Type="http://schemas.openxmlformats.org/officeDocument/2006/relationships/hyperlink" Target="https://doi.org/10.1007/s12665-023-11040-9" TargetMode="External"/><Relationship Id="rId71" Type="http://schemas.openxmlformats.org/officeDocument/2006/relationships/hyperlink" Target="https://doi.org/10.28974/idojaras.2021.3.5" TargetMode="External"/><Relationship Id="rId72" Type="http://schemas.openxmlformats.org/officeDocument/2006/relationships/hyperlink" Target="https://doi.org/10.1023/A:1010933404324" TargetMode="External"/><Relationship Id="rId73" Type="http://schemas.openxmlformats.org/officeDocument/2006/relationships/hyperlink" Target="https://doi.org/10.3390/w11050910" TargetMode="External"/><Relationship Id="rId74" Type="http://schemas.openxmlformats.org/officeDocument/2006/relationships/hyperlink" Target="https://doi.org/10.1016/j.jhydrol.2015.10.038" TargetMode="External"/><Relationship Id="rId75" Type="http://schemas.openxmlformats.org/officeDocument/2006/relationships/hyperlink" Target="https://doi.org/10.1145/2939672.2939785" TargetMode="External"/><Relationship Id="rId76" Type="http://schemas.openxmlformats.org/officeDocument/2006/relationships/hyperlink" Target="https://doi.org/10.1016/j.psep.2025.107249" TargetMode="External"/><Relationship Id="rId77" Type="http://schemas.openxmlformats.org/officeDocument/2006/relationships/hyperlink" Target="https://doi.org/10.1162/neco.1997.9.8.1735" TargetMode="External"/><Relationship Id="rId78" Type="http://schemas.openxmlformats.org/officeDocument/2006/relationships/hyperlink" Target="https://doi.org/10.5194/hess-22-6005-2018" TargetMode="External"/><Relationship Id="rId79" Type="http://schemas.openxmlformats.org/officeDocument/2006/relationships/hyperlink" Target="https://doi.org/10.1029/2018WR022643" TargetMode="External"/><Relationship Id="rId80" Type="http://schemas.openxmlformats.org/officeDocument/2006/relationships/hyperlink" Target="https://doi.org/10.5194/hess-22-6005-2018" TargetMode="External"/><Relationship Id="rId81" Type="http://schemas.openxmlformats.org/officeDocument/2006/relationships/hyperlink" Target="https://doi.org/10.1080/02626667.2019.1620507" TargetMode="External"/><Relationship Id="rId82" Type="http://schemas.openxmlformats.org/officeDocument/2006/relationships/hyperlink" Target="https://doi.org/10.1029/2019WR026793" TargetMode="External"/><Relationship Id="rId83" Type="http://schemas.openxmlformats.org/officeDocument/2006/relationships/hyperlink" Target="https://doi.org/10.3390/w10111536" TargetMode="External"/><Relationship Id="rId84" Type="http://schemas.openxmlformats.org/officeDocument/2006/relationships/hyperlink" Target="https://doi.org/10.1029/2020WR028091" TargetMode="External"/><Relationship Id="rId85" Type="http://schemas.openxmlformats.org/officeDocument/2006/relationships/hyperlink" Target="https://doi.org/10.1029/2018WR022643" TargetMode="External"/><Relationship Id="rId86" Type="http://schemas.openxmlformats.org/officeDocument/2006/relationships/hyperlink" Target="https://doi.org/10.3390/w16050777" TargetMode="External"/><Relationship Id="rId87" Type="http://schemas.openxmlformats.org/officeDocument/2006/relationships/hyperlink" Target="https://doi.org/10.3390/w15142572" TargetMode="External"/><Relationship Id="rId88" Type="http://schemas.openxmlformats.org/officeDocument/2006/relationships/hyperlink" Target="https://doi.org/10.1016/j.jhydrol.2020.125376" TargetMode="External"/><Relationship Id="rId89" Type="http://schemas.openxmlformats.org/officeDocument/2006/relationships/hyperlink" Target="https://doi.org/10.1007/s11269-024-03937-2" TargetMode="External"/><Relationship Id="rId90" Type="http://schemas.openxmlformats.org/officeDocument/2006/relationships/hyperlink" Target="https://doi.org/10.1007/s13762-022-04208-6" TargetMode="External"/><Relationship Id="rId91" Type="http://schemas.openxmlformats.org/officeDocument/2006/relationships/hyperlink" Target="https://doi.org/10.1029/2019WR025924" TargetMode="External"/><Relationship Id="rId92" Type="http://schemas.openxmlformats.org/officeDocument/2006/relationships/hyperlink" Target="https://doi.org/10.1029/2019WR026793" TargetMode="External"/><Relationship Id="rId93" Type="http://schemas.openxmlformats.org/officeDocument/2006/relationships/header" Target="header1.xml"/><Relationship Id="rId94" Type="http://schemas.openxmlformats.org/officeDocument/2006/relationships/header" Target="header2.xml"/><Relationship Id="rId95" Type="http://schemas.openxmlformats.org/officeDocument/2006/relationships/header" Target="header3.xml"/><Relationship Id="rId96" Type="http://schemas.openxmlformats.org/officeDocument/2006/relationships/footer" Target="footer1.xml"/><Relationship Id="rId97" Type="http://schemas.openxmlformats.org/officeDocument/2006/relationships/footer" Target="footer2.xml"/><Relationship Id="rId98" Type="http://schemas.openxmlformats.org/officeDocument/2006/relationships/footer" Target="footer3.xml"/><Relationship Id="rId99" Type="http://schemas.openxmlformats.org/officeDocument/2006/relationships/numbering" Target="numbering.xml"/><Relationship Id="rId100" Type="http://schemas.openxmlformats.org/officeDocument/2006/relationships/fontTable" Target="fontTable.xml"/><Relationship Id="rId101" Type="http://schemas.openxmlformats.org/officeDocument/2006/relationships/settings" Target="settings.xml"/><Relationship Id="rId102"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25.png"/>
</Relationships>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3.xml><?xml version="1.0" encoding="utf-8"?>
<dgm:dataModel xmlns:dgm="http://schemas.openxmlformats.org/drawingml/2006/diagram" xmlns:a="http://schemas.openxmlformats.org/drawingml/2006/main">
  <dgm:ptLst>
    <dgm:pt modelId="{B2B33D2B-8A0A-43A3-8A2D-E58DB6849D2B}" type="doc">
      <dgm:prSet loTypeId="urn:microsoft.com/office/officeart/2005/8/layout/process1" loCatId="process" qsTypeId="urn:microsoft.com/office/officeart/2005/8/quickstyle/simple1" qsCatId="simple" csTypeId="urn:microsoft.com/office/officeart/2005/8/colors/accent1_2" csCatId="accent1" phldr="1"/>
      <dgm:spPr/>
    </dgm:pt>
    <dgm:pt modelId="{156315A8-971D-41BF-BCC5-FF2BAE207770}">
      <dgm:prSet phldrT="[Text]" custT="1"/>
      <dgm:spPr/>
      <dgm:t>
        <a:bodyPr/>
        <a:lstStyle/>
        <a:p>
          <a:r>
            <a:rPr lang="en-US" sz="800">
              <a:latin typeface="Palatino Linotype" panose="02040502050505030304" pitchFamily="18" charset="0"/>
            </a:rPr>
            <a:t>Construction of lagged hydro-meteorological features</a:t>
          </a:r>
          <a:endParaRPr lang="en-GB" sz="800">
            <a:latin typeface="Palatino Linotype" panose="02040502050505030304" pitchFamily="18" charset="0"/>
          </a:endParaRPr>
        </a:p>
      </dgm:t>
    </dgm:pt>
    <dgm:pt modelId="{F23405FA-0B30-4E89-96EE-44B5335BEF59}" type="parTrans" cxnId="{834E6AA0-4176-4316-A3C9-0F8B63C9A442}">
      <dgm:prSet/>
      <dgm:spPr/>
      <dgm:t>
        <a:bodyPr/>
        <a:lstStyle/>
        <a:p>
          <a:endParaRPr lang="en-GB"/>
        </a:p>
      </dgm:t>
    </dgm:pt>
    <dgm:pt modelId="{FDD3FD11-851A-4066-B59C-7ACAAB0FA851}" type="sibTrans" cxnId="{834E6AA0-4176-4316-A3C9-0F8B63C9A442}">
      <dgm:prSet/>
      <dgm:spPr/>
      <dgm:t>
        <a:bodyPr/>
        <a:lstStyle/>
        <a:p>
          <a:endParaRPr lang="en-GB"/>
        </a:p>
      </dgm:t>
    </dgm:pt>
    <dgm:pt modelId="{280B4357-FC17-43E9-AF9F-BF96D07394EE}">
      <dgm:prSet phldrT="[Text]" custT="1"/>
      <dgm:spPr/>
      <dgm:t>
        <a:bodyPr/>
        <a:lstStyle/>
        <a:p>
          <a:r>
            <a:rPr lang="en-US" sz="800">
              <a:latin typeface="Palatino Linotype" panose="02040502050505030304" pitchFamily="18" charset="0"/>
            </a:rPr>
            <a:t>Time-based train–test splitting</a:t>
          </a:r>
          <a:endParaRPr lang="en-GB" sz="800">
            <a:latin typeface="Palatino Linotype" panose="02040502050505030304" pitchFamily="18" charset="0"/>
          </a:endParaRPr>
        </a:p>
      </dgm:t>
    </dgm:pt>
    <dgm:pt modelId="{3C7003E1-C16B-4AF1-8DD2-5B2DD0386A82}" type="parTrans" cxnId="{6C98B251-0061-4975-A234-FF4A085C6E48}">
      <dgm:prSet/>
      <dgm:spPr/>
      <dgm:t>
        <a:bodyPr/>
        <a:lstStyle/>
        <a:p>
          <a:endParaRPr lang="en-GB"/>
        </a:p>
      </dgm:t>
    </dgm:pt>
    <dgm:pt modelId="{4255F2BC-DC55-4CAF-83C8-EB877DFBAA53}" type="sibTrans" cxnId="{6C98B251-0061-4975-A234-FF4A085C6E48}">
      <dgm:prSet/>
      <dgm:spPr/>
      <dgm:t>
        <a:bodyPr/>
        <a:lstStyle/>
        <a:p>
          <a:endParaRPr lang="en-GB"/>
        </a:p>
      </dgm:t>
    </dgm:pt>
    <dgm:pt modelId="{EF895AB9-2A6A-4566-A5C0-D7C52BCD33BC}">
      <dgm:prSet phldrT="[Text]" custT="1"/>
      <dgm:spPr/>
      <dgm:t>
        <a:bodyPr/>
        <a:lstStyle/>
        <a:p>
          <a:r>
            <a:rPr lang="en-US" sz="800">
              <a:latin typeface="Palatino Linotype" panose="02040502050505030304" pitchFamily="18" charset="0"/>
            </a:rPr>
            <a:t>Rolling-origin cross-validation for hyperparameter tuning</a:t>
          </a:r>
          <a:endParaRPr lang="en-GB" sz="800">
            <a:latin typeface="Palatino Linotype" panose="02040502050505030304" pitchFamily="18" charset="0"/>
          </a:endParaRPr>
        </a:p>
      </dgm:t>
    </dgm:pt>
    <dgm:pt modelId="{7EBE8FFC-01DD-466A-9EF7-49F92D8D2526}" type="parTrans" cxnId="{1C69152E-ACC0-431F-9DED-1C958BA06F23}">
      <dgm:prSet/>
      <dgm:spPr/>
      <dgm:t>
        <a:bodyPr/>
        <a:lstStyle/>
        <a:p>
          <a:endParaRPr lang="en-GB"/>
        </a:p>
      </dgm:t>
    </dgm:pt>
    <dgm:pt modelId="{BC9A5558-4E9F-4E94-B093-271771ABB1D9}" type="sibTrans" cxnId="{1C69152E-ACC0-431F-9DED-1C958BA06F23}">
      <dgm:prSet/>
      <dgm:spPr/>
      <dgm:t>
        <a:bodyPr/>
        <a:lstStyle/>
        <a:p>
          <a:endParaRPr lang="en-GB"/>
        </a:p>
      </dgm:t>
    </dgm:pt>
    <dgm:pt modelId="{FFCE2155-E241-4BBC-821F-22BA54F63E16}">
      <dgm:prSet phldrT="[Text]" custT="1"/>
      <dgm:spPr/>
      <dgm:t>
        <a:bodyPr/>
        <a:lstStyle/>
        <a:p>
          <a:r>
            <a:rPr lang="en-US" sz="800">
              <a:latin typeface="Palatino Linotype" panose="02040502050505030304" pitchFamily="18" charset="0"/>
            </a:rPr>
            <a:t>Model selection based on NSE</a:t>
          </a:r>
          <a:endParaRPr lang="en-GB" sz="800">
            <a:latin typeface="Palatino Linotype" panose="02040502050505030304" pitchFamily="18" charset="0"/>
          </a:endParaRPr>
        </a:p>
      </dgm:t>
    </dgm:pt>
    <dgm:pt modelId="{33E96285-98A4-41FB-8E17-C3492E29B0AE}" type="parTrans" cxnId="{92CB4EF9-F1DD-4417-ABE6-9E4F9DD160B4}">
      <dgm:prSet/>
      <dgm:spPr/>
      <dgm:t>
        <a:bodyPr/>
        <a:lstStyle/>
        <a:p>
          <a:endParaRPr lang="en-GB"/>
        </a:p>
      </dgm:t>
    </dgm:pt>
    <dgm:pt modelId="{89E33502-3157-44A2-BC70-A5EAD18AF900}" type="sibTrans" cxnId="{92CB4EF9-F1DD-4417-ABE6-9E4F9DD160B4}">
      <dgm:prSet/>
      <dgm:spPr/>
      <dgm:t>
        <a:bodyPr/>
        <a:lstStyle/>
        <a:p>
          <a:endParaRPr lang="en-GB"/>
        </a:p>
      </dgm:t>
    </dgm:pt>
    <dgm:pt modelId="{BE5137D4-5059-4A28-B141-2988E820521B}">
      <dgm:prSet phldrT="[Text]" custT="1"/>
      <dgm:spPr/>
      <dgm:t>
        <a:bodyPr/>
        <a:lstStyle/>
        <a:p>
          <a:r>
            <a:rPr lang="en-US" sz="800">
              <a:latin typeface="Palatino Linotype" panose="02040502050505030304" pitchFamily="18" charset="0"/>
            </a:rPr>
            <a:t>One-step-ahead streamflow forecasting</a:t>
          </a:r>
          <a:endParaRPr lang="en-GB" sz="800">
            <a:latin typeface="Palatino Linotype" panose="02040502050505030304" pitchFamily="18" charset="0"/>
          </a:endParaRPr>
        </a:p>
      </dgm:t>
    </dgm:pt>
    <dgm:pt modelId="{56B17176-9AC1-44FC-8484-610B3E849D40}" type="parTrans" cxnId="{5A7EF853-ACDD-45AB-AA8C-571584D5C8E5}">
      <dgm:prSet/>
      <dgm:spPr/>
      <dgm:t>
        <a:bodyPr/>
        <a:lstStyle/>
        <a:p>
          <a:endParaRPr lang="en-GB"/>
        </a:p>
      </dgm:t>
    </dgm:pt>
    <dgm:pt modelId="{80B4C9D9-3E44-4E58-9411-54887D7C7DFB}" type="sibTrans" cxnId="{5A7EF853-ACDD-45AB-AA8C-571584D5C8E5}">
      <dgm:prSet/>
      <dgm:spPr/>
      <dgm:t>
        <a:bodyPr/>
        <a:lstStyle/>
        <a:p>
          <a:endParaRPr lang="en-GB"/>
        </a:p>
      </dgm:t>
    </dgm:pt>
    <dgm:pt modelId="{F55CDC64-30F5-4DD4-8E25-5E484AC850FF}">
      <dgm:prSet phldrT="[Text]" custT="1"/>
      <dgm:spPr/>
      <dgm:t>
        <a:bodyPr/>
        <a:lstStyle/>
        <a:p>
          <a:r>
            <a:rPr lang="en-US" sz="800">
              <a:latin typeface="Palatino Linotype" panose="02040502050505030304" pitchFamily="18" charset="0"/>
            </a:rPr>
            <a:t>Linear bias correction</a:t>
          </a:r>
          <a:endParaRPr lang="en-GB" sz="800">
            <a:latin typeface="Palatino Linotype" panose="02040502050505030304" pitchFamily="18" charset="0"/>
          </a:endParaRPr>
        </a:p>
      </dgm:t>
    </dgm:pt>
    <dgm:pt modelId="{61C107EB-D59E-4E4A-8CE2-FBE18966AC4A}" type="parTrans" cxnId="{0BFE1644-C6EF-4A02-91AF-26AD6F0817B7}">
      <dgm:prSet/>
      <dgm:spPr/>
      <dgm:t>
        <a:bodyPr/>
        <a:lstStyle/>
        <a:p>
          <a:endParaRPr lang="en-GB"/>
        </a:p>
      </dgm:t>
    </dgm:pt>
    <dgm:pt modelId="{ACE36EBE-4C15-45F2-9B20-59E427700B33}" type="sibTrans" cxnId="{0BFE1644-C6EF-4A02-91AF-26AD6F0817B7}">
      <dgm:prSet/>
      <dgm:spPr/>
      <dgm:t>
        <a:bodyPr/>
        <a:lstStyle/>
        <a:p>
          <a:endParaRPr lang="en-GB"/>
        </a:p>
      </dgm:t>
    </dgm:pt>
    <dgm:pt modelId="{5A98A526-7CAC-4FA0-9911-5ED5DBD6809B}">
      <dgm:prSet phldrT="[Text]" custT="1"/>
      <dgm:spPr/>
      <dgm:t>
        <a:bodyPr/>
        <a:lstStyle/>
        <a:p>
          <a:r>
            <a:rPr lang="en-US" sz="800">
              <a:latin typeface="Palatino Linotype" panose="02040502050505030304" pitchFamily="18" charset="0"/>
            </a:rPr>
            <a:t>Performance evaluation using NSE, KGE, RMSE, and MAE</a:t>
          </a:r>
          <a:endParaRPr lang="en-GB" sz="800">
            <a:latin typeface="Palatino Linotype" panose="02040502050505030304" pitchFamily="18" charset="0"/>
          </a:endParaRPr>
        </a:p>
      </dgm:t>
    </dgm:pt>
    <dgm:pt modelId="{7FE56A06-13AB-4D04-9EAD-3D779E4DD5AD}" type="parTrans" cxnId="{FD653D5B-7043-433F-A87B-80680233C5A0}">
      <dgm:prSet/>
      <dgm:spPr/>
      <dgm:t>
        <a:bodyPr/>
        <a:lstStyle/>
        <a:p>
          <a:endParaRPr lang="en-GB"/>
        </a:p>
      </dgm:t>
    </dgm:pt>
    <dgm:pt modelId="{447E4649-BCDC-4FAB-8BC0-B5620F16EA05}" type="sibTrans" cxnId="{FD653D5B-7043-433F-A87B-80680233C5A0}">
      <dgm:prSet/>
      <dgm:spPr/>
      <dgm:t>
        <a:bodyPr/>
        <a:lstStyle/>
        <a:p>
          <a:endParaRPr lang="en-GB"/>
        </a:p>
      </dgm:t>
    </dgm:pt>
    <dgm:pt modelId="{38A46D11-13BC-497D-865F-9DC5081A6E41}" type="pres">
      <dgm:prSet presAssocID="{B2B33D2B-8A0A-43A3-8A2D-E58DB6849D2B}" presName="Name0" presStyleCnt="0">
        <dgm:presLayoutVars>
          <dgm:dir/>
          <dgm:resizeHandles val="exact"/>
        </dgm:presLayoutVars>
      </dgm:prSet>
      <dgm:spPr/>
    </dgm:pt>
    <dgm:pt modelId="{8764C840-7446-4478-8B5B-2A8722563C49}" type="pres">
      <dgm:prSet presAssocID="{156315A8-971D-41BF-BCC5-FF2BAE207770}" presName="node" presStyleLbl="node1" presStyleIdx="0" presStyleCnt="7" custAng="16200000" custScaleX="345393">
        <dgm:presLayoutVars>
          <dgm:bulletEnabled val="1"/>
        </dgm:presLayoutVars>
      </dgm:prSet>
      <dgm:spPr/>
    </dgm:pt>
    <dgm:pt modelId="{6D6FFF4B-B586-4F8F-8F03-E9922F7D260B}" type="pres">
      <dgm:prSet presAssocID="{FDD3FD11-851A-4066-B59C-7ACAAB0FA851}" presName="sibTrans" presStyleLbl="sibTrans2D1" presStyleIdx="0" presStyleCnt="6" custScaleX="283801" custScaleY="424558" custLinFactNeighborX="12303" custLinFactNeighborY="3426"/>
      <dgm:spPr/>
    </dgm:pt>
    <dgm:pt modelId="{85FC4D1B-51C6-4969-81BF-3A544D231D76}" type="pres">
      <dgm:prSet presAssocID="{FDD3FD11-851A-4066-B59C-7ACAAB0FA851}" presName="connectorText" presStyleLbl="sibTrans2D1" presStyleIdx="0" presStyleCnt="6"/>
      <dgm:spPr/>
    </dgm:pt>
    <dgm:pt modelId="{E1531E5D-9C2F-4D39-957D-372197942AE7}" type="pres">
      <dgm:prSet presAssocID="{280B4357-FC17-43E9-AF9F-BF96D07394EE}" presName="node" presStyleLbl="node1" presStyleIdx="1" presStyleCnt="7" custAng="16200000" custScaleX="345393">
        <dgm:presLayoutVars>
          <dgm:bulletEnabled val="1"/>
        </dgm:presLayoutVars>
      </dgm:prSet>
      <dgm:spPr/>
    </dgm:pt>
    <dgm:pt modelId="{2AF97344-B43E-4DD0-8E2B-D10187157A69}" type="pres">
      <dgm:prSet presAssocID="{4255F2BC-DC55-4CAF-83C8-EB877DFBAA53}" presName="sibTrans" presStyleLbl="sibTrans2D1" presStyleIdx="1" presStyleCnt="6" custScaleX="283801" custScaleY="424558"/>
      <dgm:spPr/>
    </dgm:pt>
    <dgm:pt modelId="{368AEEB2-AAC4-4B69-AE85-93C39CC9F67A}" type="pres">
      <dgm:prSet presAssocID="{4255F2BC-DC55-4CAF-83C8-EB877DFBAA53}" presName="connectorText" presStyleLbl="sibTrans2D1" presStyleIdx="1" presStyleCnt="6"/>
      <dgm:spPr/>
    </dgm:pt>
    <dgm:pt modelId="{08527378-A2B9-494E-8746-326D6F6EE757}" type="pres">
      <dgm:prSet presAssocID="{EF895AB9-2A6A-4566-A5C0-D7C52BCD33BC}" presName="node" presStyleLbl="node1" presStyleIdx="2" presStyleCnt="7" custAng="16200000" custScaleX="345393">
        <dgm:presLayoutVars>
          <dgm:bulletEnabled val="1"/>
        </dgm:presLayoutVars>
      </dgm:prSet>
      <dgm:spPr/>
    </dgm:pt>
    <dgm:pt modelId="{D8A8A177-3A34-4464-8B1D-966940029596}" type="pres">
      <dgm:prSet presAssocID="{BC9A5558-4E9F-4E94-B093-271771ABB1D9}" presName="sibTrans" presStyleLbl="sibTrans2D1" presStyleIdx="2" presStyleCnt="6" custScaleX="283801" custScaleY="424558"/>
      <dgm:spPr/>
    </dgm:pt>
    <dgm:pt modelId="{ACB54F5E-FC79-4175-90C3-1FCF3639E343}" type="pres">
      <dgm:prSet presAssocID="{BC9A5558-4E9F-4E94-B093-271771ABB1D9}" presName="connectorText" presStyleLbl="sibTrans2D1" presStyleIdx="2" presStyleCnt="6"/>
      <dgm:spPr/>
    </dgm:pt>
    <dgm:pt modelId="{D1AA9F97-0779-4CF6-AE4A-D14B795F49FB}" type="pres">
      <dgm:prSet presAssocID="{FFCE2155-E241-4BBC-821F-22BA54F63E16}" presName="node" presStyleLbl="node1" presStyleIdx="3" presStyleCnt="7" custAng="16200000" custScaleX="345393">
        <dgm:presLayoutVars>
          <dgm:bulletEnabled val="1"/>
        </dgm:presLayoutVars>
      </dgm:prSet>
      <dgm:spPr/>
    </dgm:pt>
    <dgm:pt modelId="{FDD45D0A-B37F-4351-974F-744FFA7EECF9}" type="pres">
      <dgm:prSet presAssocID="{89E33502-3157-44A2-BC70-A5EAD18AF900}" presName="sibTrans" presStyleLbl="sibTrans2D1" presStyleIdx="3" presStyleCnt="6" custScaleX="283801" custScaleY="424558"/>
      <dgm:spPr/>
    </dgm:pt>
    <dgm:pt modelId="{B78FC4E6-EEA7-47DB-8BBB-9F89BDAEAA72}" type="pres">
      <dgm:prSet presAssocID="{89E33502-3157-44A2-BC70-A5EAD18AF900}" presName="connectorText" presStyleLbl="sibTrans2D1" presStyleIdx="3" presStyleCnt="6"/>
      <dgm:spPr/>
    </dgm:pt>
    <dgm:pt modelId="{83126592-2208-42EF-A3F9-54992A6EAFEB}" type="pres">
      <dgm:prSet presAssocID="{BE5137D4-5059-4A28-B141-2988E820521B}" presName="node" presStyleLbl="node1" presStyleIdx="4" presStyleCnt="7" custAng="16200000" custScaleX="345394">
        <dgm:presLayoutVars>
          <dgm:bulletEnabled val="1"/>
        </dgm:presLayoutVars>
      </dgm:prSet>
      <dgm:spPr/>
    </dgm:pt>
    <dgm:pt modelId="{BFAADB6A-3AF8-488F-B045-5DAEEED730DB}" type="pres">
      <dgm:prSet presAssocID="{80B4C9D9-3E44-4E58-9411-54887D7C7DFB}" presName="sibTrans" presStyleLbl="sibTrans2D1" presStyleIdx="4" presStyleCnt="6" custScaleX="283801" custScaleY="424558"/>
      <dgm:spPr/>
    </dgm:pt>
    <dgm:pt modelId="{B7CF4899-DEEA-42F9-951D-983303790B67}" type="pres">
      <dgm:prSet presAssocID="{80B4C9D9-3E44-4E58-9411-54887D7C7DFB}" presName="connectorText" presStyleLbl="sibTrans2D1" presStyleIdx="4" presStyleCnt="6"/>
      <dgm:spPr/>
    </dgm:pt>
    <dgm:pt modelId="{669F7A35-3CC1-4DBE-A782-B3FD220E33F3}" type="pres">
      <dgm:prSet presAssocID="{F55CDC64-30F5-4DD4-8E25-5E484AC850FF}" presName="node" presStyleLbl="node1" presStyleIdx="5" presStyleCnt="7" custAng="16200000" custScaleX="345393">
        <dgm:presLayoutVars>
          <dgm:bulletEnabled val="1"/>
        </dgm:presLayoutVars>
      </dgm:prSet>
      <dgm:spPr/>
    </dgm:pt>
    <dgm:pt modelId="{868637B5-DB4A-4580-B970-20F269B0CF63}" type="pres">
      <dgm:prSet presAssocID="{ACE36EBE-4C15-45F2-9B20-59E427700B33}" presName="sibTrans" presStyleLbl="sibTrans2D1" presStyleIdx="5" presStyleCnt="6" custScaleX="283801" custScaleY="424558"/>
      <dgm:spPr/>
    </dgm:pt>
    <dgm:pt modelId="{F09A20BB-D738-4E95-898A-8930CBA60C68}" type="pres">
      <dgm:prSet presAssocID="{ACE36EBE-4C15-45F2-9B20-59E427700B33}" presName="connectorText" presStyleLbl="sibTrans2D1" presStyleIdx="5" presStyleCnt="6"/>
      <dgm:spPr/>
    </dgm:pt>
    <dgm:pt modelId="{EE586D25-02C1-4DA2-98AD-FFF27FB665DC}" type="pres">
      <dgm:prSet presAssocID="{5A98A526-7CAC-4FA0-9911-5ED5DBD6809B}" presName="node" presStyleLbl="node1" presStyleIdx="6" presStyleCnt="7" custAng="16200000" custScaleX="345393">
        <dgm:presLayoutVars>
          <dgm:bulletEnabled val="1"/>
        </dgm:presLayoutVars>
      </dgm:prSet>
      <dgm:spPr/>
    </dgm:pt>
  </dgm:ptLst>
  <dgm:cxnLst>
    <dgm:cxn modelId="{2B744407-F097-42B6-9B5C-C6132160258E}" type="presOf" srcId="{80B4C9D9-3E44-4E58-9411-54887D7C7DFB}" destId="{B7CF4899-DEEA-42F9-951D-983303790B67}" srcOrd="1" destOrd="0" presId="urn:microsoft.com/office/officeart/2005/8/layout/process1"/>
    <dgm:cxn modelId="{CBBBF009-0FBE-4F38-80F6-659E8314AE57}" type="presOf" srcId="{5A98A526-7CAC-4FA0-9911-5ED5DBD6809B}" destId="{EE586D25-02C1-4DA2-98AD-FFF27FB665DC}" srcOrd="0" destOrd="0" presId="urn:microsoft.com/office/officeart/2005/8/layout/process1"/>
    <dgm:cxn modelId="{D8CB260A-39E4-4310-9E09-A41DFDF78FF4}" type="presOf" srcId="{FDD3FD11-851A-4066-B59C-7ACAAB0FA851}" destId="{85FC4D1B-51C6-4969-81BF-3A544D231D76}" srcOrd="1" destOrd="0" presId="urn:microsoft.com/office/officeart/2005/8/layout/process1"/>
    <dgm:cxn modelId="{8E453C12-813A-4918-ADEF-4FA23D2B2F54}" type="presOf" srcId="{156315A8-971D-41BF-BCC5-FF2BAE207770}" destId="{8764C840-7446-4478-8B5B-2A8722563C49}" srcOrd="0" destOrd="0" presId="urn:microsoft.com/office/officeart/2005/8/layout/process1"/>
    <dgm:cxn modelId="{1C69152E-ACC0-431F-9DED-1C958BA06F23}" srcId="{B2B33D2B-8A0A-43A3-8A2D-E58DB6849D2B}" destId="{EF895AB9-2A6A-4566-A5C0-D7C52BCD33BC}" srcOrd="2" destOrd="0" parTransId="{7EBE8FFC-01DD-466A-9EF7-49F92D8D2526}" sibTransId="{BC9A5558-4E9F-4E94-B093-271771ABB1D9}"/>
    <dgm:cxn modelId="{FD653D5B-7043-433F-A87B-80680233C5A0}" srcId="{B2B33D2B-8A0A-43A3-8A2D-E58DB6849D2B}" destId="{5A98A526-7CAC-4FA0-9911-5ED5DBD6809B}" srcOrd="6" destOrd="0" parTransId="{7FE56A06-13AB-4D04-9EAD-3D779E4DD5AD}" sibTransId="{447E4649-BCDC-4FAB-8BC0-B5620F16EA05}"/>
    <dgm:cxn modelId="{BB1A075C-3CE8-4E03-A8D3-934D45A00A0C}" type="presOf" srcId="{80B4C9D9-3E44-4E58-9411-54887D7C7DFB}" destId="{BFAADB6A-3AF8-488F-B045-5DAEEED730DB}" srcOrd="0" destOrd="0" presId="urn:microsoft.com/office/officeart/2005/8/layout/process1"/>
    <dgm:cxn modelId="{0BFE1644-C6EF-4A02-91AF-26AD6F0817B7}" srcId="{B2B33D2B-8A0A-43A3-8A2D-E58DB6849D2B}" destId="{F55CDC64-30F5-4DD4-8E25-5E484AC850FF}" srcOrd="5" destOrd="0" parTransId="{61C107EB-D59E-4E4A-8CE2-FBE18966AC4A}" sibTransId="{ACE36EBE-4C15-45F2-9B20-59E427700B33}"/>
    <dgm:cxn modelId="{6C98B251-0061-4975-A234-FF4A085C6E48}" srcId="{B2B33D2B-8A0A-43A3-8A2D-E58DB6849D2B}" destId="{280B4357-FC17-43E9-AF9F-BF96D07394EE}" srcOrd="1" destOrd="0" parTransId="{3C7003E1-C16B-4AF1-8DD2-5B2DD0386A82}" sibTransId="{4255F2BC-DC55-4CAF-83C8-EB877DFBAA53}"/>
    <dgm:cxn modelId="{5A7EF853-ACDD-45AB-AA8C-571584D5C8E5}" srcId="{B2B33D2B-8A0A-43A3-8A2D-E58DB6849D2B}" destId="{BE5137D4-5059-4A28-B141-2988E820521B}" srcOrd="4" destOrd="0" parTransId="{56B17176-9AC1-44FC-8484-610B3E849D40}" sibTransId="{80B4C9D9-3E44-4E58-9411-54887D7C7DFB}"/>
    <dgm:cxn modelId="{1C734374-BE02-42BC-86E7-F11DB4161BB6}" type="presOf" srcId="{FDD3FD11-851A-4066-B59C-7ACAAB0FA851}" destId="{6D6FFF4B-B586-4F8F-8F03-E9922F7D260B}" srcOrd="0" destOrd="0" presId="urn:microsoft.com/office/officeart/2005/8/layout/process1"/>
    <dgm:cxn modelId="{0AEB6D54-F661-40A2-8A0B-504870F17FB6}" type="presOf" srcId="{B2B33D2B-8A0A-43A3-8A2D-E58DB6849D2B}" destId="{38A46D11-13BC-497D-865F-9DC5081A6E41}" srcOrd="0" destOrd="0" presId="urn:microsoft.com/office/officeart/2005/8/layout/process1"/>
    <dgm:cxn modelId="{DC09AB76-F3E2-45E8-9949-CEE7B4E4DE4C}" type="presOf" srcId="{BC9A5558-4E9F-4E94-B093-271771ABB1D9}" destId="{D8A8A177-3A34-4464-8B1D-966940029596}" srcOrd="0" destOrd="0" presId="urn:microsoft.com/office/officeart/2005/8/layout/process1"/>
    <dgm:cxn modelId="{7971FD78-6B60-4E6B-B8FF-96304511CCE7}" type="presOf" srcId="{ACE36EBE-4C15-45F2-9B20-59E427700B33}" destId="{F09A20BB-D738-4E95-898A-8930CBA60C68}" srcOrd="1" destOrd="0" presId="urn:microsoft.com/office/officeart/2005/8/layout/process1"/>
    <dgm:cxn modelId="{8C44137A-8B7A-4E9F-B2C5-3C4525550CD4}" type="presOf" srcId="{ACE36EBE-4C15-45F2-9B20-59E427700B33}" destId="{868637B5-DB4A-4580-B970-20F269B0CF63}" srcOrd="0" destOrd="0" presId="urn:microsoft.com/office/officeart/2005/8/layout/process1"/>
    <dgm:cxn modelId="{A92A0E7F-C5D2-47F7-BBD1-CBDF6E0DDBAA}" type="presOf" srcId="{89E33502-3157-44A2-BC70-A5EAD18AF900}" destId="{B78FC4E6-EEA7-47DB-8BBB-9F89BDAEAA72}" srcOrd="1" destOrd="0" presId="urn:microsoft.com/office/officeart/2005/8/layout/process1"/>
    <dgm:cxn modelId="{EECD1C90-66BE-4356-B57A-963E92FAC8FF}" type="presOf" srcId="{BC9A5558-4E9F-4E94-B093-271771ABB1D9}" destId="{ACB54F5E-FC79-4175-90C3-1FCF3639E343}" srcOrd="1" destOrd="0" presId="urn:microsoft.com/office/officeart/2005/8/layout/process1"/>
    <dgm:cxn modelId="{AF354D93-72E9-4E63-AD52-D495C43C79A9}" type="presOf" srcId="{FFCE2155-E241-4BBC-821F-22BA54F63E16}" destId="{D1AA9F97-0779-4CF6-AE4A-D14B795F49FB}" srcOrd="0" destOrd="0" presId="urn:microsoft.com/office/officeart/2005/8/layout/process1"/>
    <dgm:cxn modelId="{003AFE95-418B-4700-8C5A-235493A4D45D}" type="presOf" srcId="{4255F2BC-DC55-4CAF-83C8-EB877DFBAA53}" destId="{2AF97344-B43E-4DD0-8E2B-D10187157A69}" srcOrd="0" destOrd="0" presId="urn:microsoft.com/office/officeart/2005/8/layout/process1"/>
    <dgm:cxn modelId="{7788AC98-7637-4029-9A5B-B788E57FFD78}" type="presOf" srcId="{4255F2BC-DC55-4CAF-83C8-EB877DFBAA53}" destId="{368AEEB2-AAC4-4B69-AE85-93C39CC9F67A}" srcOrd="1" destOrd="0" presId="urn:microsoft.com/office/officeart/2005/8/layout/process1"/>
    <dgm:cxn modelId="{834E6AA0-4176-4316-A3C9-0F8B63C9A442}" srcId="{B2B33D2B-8A0A-43A3-8A2D-E58DB6849D2B}" destId="{156315A8-971D-41BF-BCC5-FF2BAE207770}" srcOrd="0" destOrd="0" parTransId="{F23405FA-0B30-4E89-96EE-44B5335BEF59}" sibTransId="{FDD3FD11-851A-4066-B59C-7ACAAB0FA851}"/>
    <dgm:cxn modelId="{55448AA2-4AE1-4CC5-A66E-009AD551D23E}" type="presOf" srcId="{F55CDC64-30F5-4DD4-8E25-5E484AC850FF}" destId="{669F7A35-3CC1-4DBE-A782-B3FD220E33F3}" srcOrd="0" destOrd="0" presId="urn:microsoft.com/office/officeart/2005/8/layout/process1"/>
    <dgm:cxn modelId="{C6D82FC6-F3CD-4A62-8A02-E4F9000F426C}" type="presOf" srcId="{EF895AB9-2A6A-4566-A5C0-D7C52BCD33BC}" destId="{08527378-A2B9-494E-8746-326D6F6EE757}" srcOrd="0" destOrd="0" presId="urn:microsoft.com/office/officeart/2005/8/layout/process1"/>
    <dgm:cxn modelId="{FC1449DE-E4FD-429D-A24D-7BA55AFE69EE}" type="presOf" srcId="{BE5137D4-5059-4A28-B141-2988E820521B}" destId="{83126592-2208-42EF-A3F9-54992A6EAFEB}" srcOrd="0" destOrd="0" presId="urn:microsoft.com/office/officeart/2005/8/layout/process1"/>
    <dgm:cxn modelId="{92CB4EF9-F1DD-4417-ABE6-9E4F9DD160B4}" srcId="{B2B33D2B-8A0A-43A3-8A2D-E58DB6849D2B}" destId="{FFCE2155-E241-4BBC-821F-22BA54F63E16}" srcOrd="3" destOrd="0" parTransId="{33E96285-98A4-41FB-8E17-C3492E29B0AE}" sibTransId="{89E33502-3157-44A2-BC70-A5EAD18AF900}"/>
    <dgm:cxn modelId="{282FCAFB-1A68-4644-8D5B-743ED9D3B1B2}" type="presOf" srcId="{280B4357-FC17-43E9-AF9F-BF96D07394EE}" destId="{E1531E5D-9C2F-4D39-957D-372197942AE7}" srcOrd="0" destOrd="0" presId="urn:microsoft.com/office/officeart/2005/8/layout/process1"/>
    <dgm:cxn modelId="{06CDB4FD-749E-4735-9C39-E96523C3F368}" type="presOf" srcId="{89E33502-3157-44A2-BC70-A5EAD18AF900}" destId="{FDD45D0A-B37F-4351-974F-744FFA7EECF9}" srcOrd="0" destOrd="0" presId="urn:microsoft.com/office/officeart/2005/8/layout/process1"/>
    <dgm:cxn modelId="{B8130210-8F97-4B15-9011-2A11D42C3E5E}" type="presParOf" srcId="{38A46D11-13BC-497D-865F-9DC5081A6E41}" destId="{8764C840-7446-4478-8B5B-2A8722563C49}" srcOrd="0" destOrd="0" presId="urn:microsoft.com/office/officeart/2005/8/layout/process1"/>
    <dgm:cxn modelId="{7F0B2922-F89F-4529-89F3-42B6440D1C1C}" type="presParOf" srcId="{38A46D11-13BC-497D-865F-9DC5081A6E41}" destId="{6D6FFF4B-B586-4F8F-8F03-E9922F7D260B}" srcOrd="1" destOrd="0" presId="urn:microsoft.com/office/officeart/2005/8/layout/process1"/>
    <dgm:cxn modelId="{ABB2D0B9-3A8E-4CAB-8CE9-4F8F41EB2D10}" type="presParOf" srcId="{6D6FFF4B-B586-4F8F-8F03-E9922F7D260B}" destId="{85FC4D1B-51C6-4969-81BF-3A544D231D76}" srcOrd="0" destOrd="0" presId="urn:microsoft.com/office/officeart/2005/8/layout/process1"/>
    <dgm:cxn modelId="{0A2FFCEE-B6BB-41ED-B9B9-654B528B9C81}" type="presParOf" srcId="{38A46D11-13BC-497D-865F-9DC5081A6E41}" destId="{E1531E5D-9C2F-4D39-957D-372197942AE7}" srcOrd="2" destOrd="0" presId="urn:microsoft.com/office/officeart/2005/8/layout/process1"/>
    <dgm:cxn modelId="{86D72BA4-7A3A-4DF1-A61F-B4D48C6E8DAB}" type="presParOf" srcId="{38A46D11-13BC-497D-865F-9DC5081A6E41}" destId="{2AF97344-B43E-4DD0-8E2B-D10187157A69}" srcOrd="3" destOrd="0" presId="urn:microsoft.com/office/officeart/2005/8/layout/process1"/>
    <dgm:cxn modelId="{4678AD9D-F97B-4F56-B8C4-A5EC829348FD}" type="presParOf" srcId="{2AF97344-B43E-4DD0-8E2B-D10187157A69}" destId="{368AEEB2-AAC4-4B69-AE85-93C39CC9F67A}" srcOrd="0" destOrd="0" presId="urn:microsoft.com/office/officeart/2005/8/layout/process1"/>
    <dgm:cxn modelId="{3FC7C4CF-5293-4267-AC79-E88E5501E33C}" type="presParOf" srcId="{38A46D11-13BC-497D-865F-9DC5081A6E41}" destId="{08527378-A2B9-494E-8746-326D6F6EE757}" srcOrd="4" destOrd="0" presId="urn:microsoft.com/office/officeart/2005/8/layout/process1"/>
    <dgm:cxn modelId="{1B8127B0-BCEF-4800-8880-F5FB486C2CFC}" type="presParOf" srcId="{38A46D11-13BC-497D-865F-9DC5081A6E41}" destId="{D8A8A177-3A34-4464-8B1D-966940029596}" srcOrd="5" destOrd="0" presId="urn:microsoft.com/office/officeart/2005/8/layout/process1"/>
    <dgm:cxn modelId="{A43A65B5-4860-4E51-B8A7-784A35E6EB76}" type="presParOf" srcId="{D8A8A177-3A34-4464-8B1D-966940029596}" destId="{ACB54F5E-FC79-4175-90C3-1FCF3639E343}" srcOrd="0" destOrd="0" presId="urn:microsoft.com/office/officeart/2005/8/layout/process1"/>
    <dgm:cxn modelId="{689BB753-3189-466B-A14D-B529A2A23677}" type="presParOf" srcId="{38A46D11-13BC-497D-865F-9DC5081A6E41}" destId="{D1AA9F97-0779-4CF6-AE4A-D14B795F49FB}" srcOrd="6" destOrd="0" presId="urn:microsoft.com/office/officeart/2005/8/layout/process1"/>
    <dgm:cxn modelId="{34A8AB7B-19BA-4C15-ACC7-915C60194E87}" type="presParOf" srcId="{38A46D11-13BC-497D-865F-9DC5081A6E41}" destId="{FDD45D0A-B37F-4351-974F-744FFA7EECF9}" srcOrd="7" destOrd="0" presId="urn:microsoft.com/office/officeart/2005/8/layout/process1"/>
    <dgm:cxn modelId="{ACB198B6-6AED-4E56-AA55-AD4715D41813}" type="presParOf" srcId="{FDD45D0A-B37F-4351-974F-744FFA7EECF9}" destId="{B78FC4E6-EEA7-47DB-8BBB-9F89BDAEAA72}" srcOrd="0" destOrd="0" presId="urn:microsoft.com/office/officeart/2005/8/layout/process1"/>
    <dgm:cxn modelId="{6C129140-64BF-4B4B-9333-F68D6A1B8A0C}" type="presParOf" srcId="{38A46D11-13BC-497D-865F-9DC5081A6E41}" destId="{83126592-2208-42EF-A3F9-54992A6EAFEB}" srcOrd="8" destOrd="0" presId="urn:microsoft.com/office/officeart/2005/8/layout/process1"/>
    <dgm:cxn modelId="{9FA91B3E-DF4D-4DD1-995C-20437BD62F55}" type="presParOf" srcId="{38A46D11-13BC-497D-865F-9DC5081A6E41}" destId="{BFAADB6A-3AF8-488F-B045-5DAEEED730DB}" srcOrd="9" destOrd="0" presId="urn:microsoft.com/office/officeart/2005/8/layout/process1"/>
    <dgm:cxn modelId="{C7D4E8D2-8111-4AA3-A9C4-581D8B75F71F}" type="presParOf" srcId="{BFAADB6A-3AF8-488F-B045-5DAEEED730DB}" destId="{B7CF4899-DEEA-42F9-951D-983303790B67}" srcOrd="0" destOrd="0" presId="urn:microsoft.com/office/officeart/2005/8/layout/process1"/>
    <dgm:cxn modelId="{E2415BF1-8EB4-4E5A-A733-1133D4519687}" type="presParOf" srcId="{38A46D11-13BC-497D-865F-9DC5081A6E41}" destId="{669F7A35-3CC1-4DBE-A782-B3FD220E33F3}" srcOrd="10" destOrd="0" presId="urn:microsoft.com/office/officeart/2005/8/layout/process1"/>
    <dgm:cxn modelId="{2769D083-A542-4205-A54B-E742C40498B8}" type="presParOf" srcId="{38A46D11-13BC-497D-865F-9DC5081A6E41}" destId="{868637B5-DB4A-4580-B970-20F269B0CF63}" srcOrd="11" destOrd="0" presId="urn:microsoft.com/office/officeart/2005/8/layout/process1"/>
    <dgm:cxn modelId="{AE481D65-34AE-4865-A6B5-7661C4E5D5BD}" type="presParOf" srcId="{868637B5-DB4A-4580-B970-20F269B0CF63}" destId="{F09A20BB-D738-4E95-898A-8930CBA60C68}" srcOrd="0" destOrd="0" presId="urn:microsoft.com/office/officeart/2005/8/layout/process1"/>
    <dgm:cxn modelId="{BE3E17AC-DA31-431D-A3FF-E39669A1D17E}" type="presParOf" srcId="{38A46D11-13BC-497D-865F-9DC5081A6E41}" destId="{EE586D25-02C1-4DA2-98AD-FFF27FB665DC}" srcOrd="12" destOrd="0" presId="urn:microsoft.com/office/officeart/2005/8/layout/process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64C840-7446-4478-8B5B-2A8722563C49}">
      <dsp:nvSpPr>
        <dsp:cNvPr id="0" name=""/>
        <dsp:cNvSpPr/>
      </dsp:nvSpPr>
      <dsp:spPr>
        <a:xfrm rot="16200000">
          <a:off x="5490"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Construction of lagged hydro-meteorological features</a:t>
          </a:r>
          <a:endParaRPr lang="en-GB" sz="800" kern="1200">
            <a:latin typeface="Palatino Linotype" panose="02040502050505030304" pitchFamily="18" charset="0"/>
          </a:endParaRPr>
        </a:p>
      </dsp:txBody>
      <dsp:txXfrm>
        <a:off x="26732" y="54612"/>
        <a:ext cx="784173" cy="682774"/>
      </dsp:txXfrm>
    </dsp:sp>
    <dsp:sp modelId="{6D6FFF4B-B586-4F8F-8F03-E9922F7D260B}">
      <dsp:nvSpPr>
        <dsp:cNvPr id="0" name=""/>
        <dsp:cNvSpPr/>
      </dsp:nvSpPr>
      <dsp:spPr>
        <a:xfrm>
          <a:off x="815694" y="272033"/>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815694" y="322433"/>
        <a:ext cx="100799" cy="151200"/>
      </dsp:txXfrm>
    </dsp:sp>
    <dsp:sp modelId="{E1531E5D-9C2F-4D39-957D-372197942AE7}">
      <dsp:nvSpPr>
        <dsp:cNvPr id="0" name=""/>
        <dsp:cNvSpPr/>
      </dsp:nvSpPr>
      <dsp:spPr>
        <a:xfrm rot="16200000">
          <a:off x="927883"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Time-based train–test splitting</a:t>
          </a:r>
          <a:endParaRPr lang="en-GB" sz="800" kern="1200">
            <a:latin typeface="Palatino Linotype" panose="02040502050505030304" pitchFamily="18" charset="0"/>
          </a:endParaRPr>
        </a:p>
      </dsp:txBody>
      <dsp:txXfrm>
        <a:off x="949125" y="54612"/>
        <a:ext cx="784173" cy="682774"/>
      </dsp:txXfrm>
    </dsp:sp>
    <dsp:sp modelId="{2AF97344-B43E-4DD0-8E2B-D10187157A69}">
      <dsp:nvSpPr>
        <dsp:cNvPr id="0" name=""/>
        <dsp:cNvSpPr/>
      </dsp:nvSpPr>
      <dsp:spPr>
        <a:xfrm>
          <a:off x="1731845"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1731845" y="320399"/>
        <a:ext cx="100799" cy="151200"/>
      </dsp:txXfrm>
    </dsp:sp>
    <dsp:sp modelId="{08527378-A2B9-494E-8746-326D6F6EE757}">
      <dsp:nvSpPr>
        <dsp:cNvPr id="0" name=""/>
        <dsp:cNvSpPr/>
      </dsp:nvSpPr>
      <dsp:spPr>
        <a:xfrm rot="16200000">
          <a:off x="1850276"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Rolling-origin cross-validation for hyperparameter tuning</a:t>
          </a:r>
          <a:endParaRPr lang="en-GB" sz="800" kern="1200">
            <a:latin typeface="Palatino Linotype" panose="02040502050505030304" pitchFamily="18" charset="0"/>
          </a:endParaRPr>
        </a:p>
      </dsp:txBody>
      <dsp:txXfrm>
        <a:off x="1871518" y="54612"/>
        <a:ext cx="784173" cy="682774"/>
      </dsp:txXfrm>
    </dsp:sp>
    <dsp:sp modelId="{D8A8A177-3A34-4464-8B1D-966940029596}">
      <dsp:nvSpPr>
        <dsp:cNvPr id="0" name=""/>
        <dsp:cNvSpPr/>
      </dsp:nvSpPr>
      <dsp:spPr>
        <a:xfrm>
          <a:off x="2654238"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2654238" y="320399"/>
        <a:ext cx="100799" cy="151200"/>
      </dsp:txXfrm>
    </dsp:sp>
    <dsp:sp modelId="{D1AA9F97-0779-4CF6-AE4A-D14B795F49FB}">
      <dsp:nvSpPr>
        <dsp:cNvPr id="0" name=""/>
        <dsp:cNvSpPr/>
      </dsp:nvSpPr>
      <dsp:spPr>
        <a:xfrm rot="16200000">
          <a:off x="2772669"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Model selection based on NSE</a:t>
          </a:r>
          <a:endParaRPr lang="en-GB" sz="800" kern="1200">
            <a:latin typeface="Palatino Linotype" panose="02040502050505030304" pitchFamily="18" charset="0"/>
          </a:endParaRPr>
        </a:p>
      </dsp:txBody>
      <dsp:txXfrm>
        <a:off x="2793911" y="54612"/>
        <a:ext cx="784173" cy="682774"/>
      </dsp:txXfrm>
    </dsp:sp>
    <dsp:sp modelId="{FDD45D0A-B37F-4351-974F-744FFA7EECF9}">
      <dsp:nvSpPr>
        <dsp:cNvPr id="0" name=""/>
        <dsp:cNvSpPr/>
      </dsp:nvSpPr>
      <dsp:spPr>
        <a:xfrm>
          <a:off x="3576631"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3576631" y="320399"/>
        <a:ext cx="100799" cy="151200"/>
      </dsp:txXfrm>
    </dsp:sp>
    <dsp:sp modelId="{83126592-2208-42EF-A3F9-54992A6EAFEB}">
      <dsp:nvSpPr>
        <dsp:cNvPr id="0" name=""/>
        <dsp:cNvSpPr/>
      </dsp:nvSpPr>
      <dsp:spPr>
        <a:xfrm rot="16200000">
          <a:off x="3695063" y="33370"/>
          <a:ext cx="826660"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One-step-ahead streamflow forecasting</a:t>
          </a:r>
          <a:endParaRPr lang="en-GB" sz="800" kern="1200">
            <a:latin typeface="Palatino Linotype" panose="02040502050505030304" pitchFamily="18" charset="0"/>
          </a:endParaRPr>
        </a:p>
      </dsp:txBody>
      <dsp:txXfrm>
        <a:off x="3716305" y="54612"/>
        <a:ext cx="784176" cy="682774"/>
      </dsp:txXfrm>
    </dsp:sp>
    <dsp:sp modelId="{BFAADB6A-3AF8-488F-B045-5DAEEED730DB}">
      <dsp:nvSpPr>
        <dsp:cNvPr id="0" name=""/>
        <dsp:cNvSpPr/>
      </dsp:nvSpPr>
      <dsp:spPr>
        <a:xfrm>
          <a:off x="4499026"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4499026" y="320399"/>
        <a:ext cx="100799" cy="151200"/>
      </dsp:txXfrm>
    </dsp:sp>
    <dsp:sp modelId="{669F7A35-3CC1-4DBE-A782-B3FD220E33F3}">
      <dsp:nvSpPr>
        <dsp:cNvPr id="0" name=""/>
        <dsp:cNvSpPr/>
      </dsp:nvSpPr>
      <dsp:spPr>
        <a:xfrm rot="16200000">
          <a:off x="4617458"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Linear bias correction</a:t>
          </a:r>
          <a:endParaRPr lang="en-GB" sz="800" kern="1200">
            <a:latin typeface="Palatino Linotype" panose="02040502050505030304" pitchFamily="18" charset="0"/>
          </a:endParaRPr>
        </a:p>
      </dsp:txBody>
      <dsp:txXfrm>
        <a:off x="4638700" y="54612"/>
        <a:ext cx="784173" cy="682774"/>
      </dsp:txXfrm>
    </dsp:sp>
    <dsp:sp modelId="{868637B5-DB4A-4580-B970-20F269B0CF63}">
      <dsp:nvSpPr>
        <dsp:cNvPr id="0" name=""/>
        <dsp:cNvSpPr/>
      </dsp:nvSpPr>
      <dsp:spPr>
        <a:xfrm>
          <a:off x="5421420"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5421420" y="320399"/>
        <a:ext cx="100799" cy="151200"/>
      </dsp:txXfrm>
    </dsp:sp>
    <dsp:sp modelId="{EE586D25-02C1-4DA2-98AD-FFF27FB665DC}">
      <dsp:nvSpPr>
        <dsp:cNvPr id="0" name=""/>
        <dsp:cNvSpPr/>
      </dsp:nvSpPr>
      <dsp:spPr>
        <a:xfrm rot="16200000">
          <a:off x="5539851"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Performance evaluation using NSE, KGE, RMSE, and MAE</a:t>
          </a:r>
          <a:endParaRPr lang="en-GB" sz="800" kern="1200">
            <a:latin typeface="Palatino Linotype" panose="02040502050505030304" pitchFamily="18" charset="0"/>
          </a:endParaRPr>
        </a:p>
      </dsp:txBody>
      <dsp:txXfrm>
        <a:off x="5561093" y="54612"/>
        <a:ext cx="784173" cy="682774"/>
      </dsp:txXfrm>
    </dsp:sp>
  </dsp:spTree>
</dsp:drawing>
</file>

<file path=word/diagrams/layout1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water-template.dot</Template>
  <TotalTime>16</TotalTime>
  <Application>LibreOffice/7.3.7.2$Linux_X86_64 LibreOffice_project/30$Build-2</Application>
  <AppVersion>15.0000</AppVersion>
  <Pages>23</Pages>
  <Words>7430</Words>
  <Characters>46890</Characters>
  <CharactersWithSpaces>54029</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2026-02-10T06:45:00Z</dcterms:created>
  <dc:creator>Slobodan Gnjato</dc:creator>
  <dc:description/>
  <dc:language>en-US</dc:language>
  <cp:lastModifiedBy/>
  <cp:lastPrinted>2026-02-09T12:00:00Z</cp:lastPrinted>
  <dcterms:modified xsi:type="dcterms:W3CDTF">2026-02-10T17:23:06Z</dcterms:modified>
  <cp:revision>18</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6a2c5d00ae62717240e11dea5d6c642c7b3248da1ca568d017c1d706ee28a7f1</vt:lpwstr>
  </property>
</Properties>
</file>