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4. Results and Discussion</w:t>
      </w:r>
    </w:p>
    <w:p>
      <w:pPr>
        <w:pStyle w:val="Heading2"/>
        <w:bidi w:val="0"/>
        <w:jc w:val="start"/>
        <w:rPr/>
      </w:pPr>
      <w:r>
        <w:rPr/>
        <w:t>4.1 Experimental Setup</w:t>
      </w:r>
    </w:p>
    <w:p>
      <w:pPr>
        <w:pStyle w:val="TextBody"/>
        <w:bidi w:val="0"/>
        <w:spacing w:lineRule="auto" w:line="276" w:before="0" w:after="140"/>
        <w:jc w:val="start"/>
        <w:rPr/>
      </w:pPr>
      <w:r>
        <w:rPr/>
        <w:t>This study evaluates the performance of three machine learning models for Q_MIN river flow forecasting: Random Forest (RF), XGBoost (XGB), and a hybrid Convolutional Neural Network–Gated Recurrent Unit (CNN–GRU) model.</w:t>
      </w:r>
    </w:p>
    <w:p>
      <w:pPr>
        <w:pStyle w:val="TextBody"/>
        <w:bidi w:val="0"/>
        <w:spacing w:lineRule="auto" w:line="276" w:before="0" w:after="140"/>
        <w:jc w:val="start"/>
        <w:rPr/>
      </w:pPr>
      <w:r>
        <w:rPr/>
        <w:t>This study demonstrates that while ensemble methods provide strong baseline performance, hybrid deep learning models such as CNN–GRU offer improved predictive accuracy on unseen hydrological data. The results emphasize the importance of explicitly modeling temporal dependencies in river flow forecasting.</w:t>
      </w:r>
    </w:p>
    <w:p>
      <w:pPr>
        <w:pStyle w:val="Normal"/>
        <w:bidi w:val="0"/>
        <w:jc w:val="start"/>
        <w:rPr/>
      </w:pPr>
      <w:r>
        <w:rPr/>
      </w:r>
    </w:p>
    <w:p>
      <w:pPr>
        <w:pStyle w:val="Normal"/>
        <w:bidi w:val="0"/>
        <w:jc w:val="start"/>
        <w:rPr/>
      </w:pPr>
      <w:r>
        <w:rPr/>
      </w:r>
    </w:p>
    <w:p>
      <w:pPr>
        <w:pStyle w:val="Heading2"/>
        <w:bidi w:val="0"/>
        <w:jc w:val="start"/>
        <w:rPr/>
      </w:pPr>
      <w:r>
        <w:rPr/>
        <w:t>4.2 Results</w:t>
      </w:r>
    </w:p>
    <w:p>
      <w:pPr>
        <w:pStyle w:val="TextBody"/>
        <w:bidi w:val="0"/>
        <w:spacing w:lineRule="auto" w:line="276" w:before="0" w:after="140"/>
        <w:jc w:val="start"/>
        <w:rPr/>
      </w:pPr>
      <w:r>
        <w:rPr/>
        <w:t>Table 1 presents the performance comparison of all models on the test dataset.</w:t>
      </w:r>
    </w:p>
    <w:p>
      <w:pPr>
        <w:pStyle w:val="TextBody"/>
        <w:bidi w:val="0"/>
        <w:jc w:val="start"/>
        <w:rPr/>
      </w:pPr>
      <w:r>
        <w:rPr>
          <w:rStyle w:val="StrongEmphasis"/>
        </w:rPr>
        <w:t>Table 1. Test Set Performance Comparison</w:t>
      </w:r>
    </w:p>
    <w:tbl>
      <w:tblPr>
        <w:tblW w:w="3868" w:type="dxa"/>
        <w:jc w:val="start"/>
        <w:tblInd w:w="0" w:type="dxa"/>
        <w:tblLayout w:type="fixed"/>
        <w:tblCellMar>
          <w:top w:w="28" w:type="dxa"/>
          <w:start w:w="28" w:type="dxa"/>
          <w:bottom w:w="28" w:type="dxa"/>
          <w:end w:w="28" w:type="dxa"/>
        </w:tblCellMar>
      </w:tblPr>
      <w:tblGrid>
        <w:gridCol w:w="1586"/>
        <w:gridCol w:w="802"/>
        <w:gridCol w:w="669"/>
        <w:gridCol w:w="811"/>
      </w:tblGrid>
      <w:tr>
        <w:trPr>
          <w:tblHeader w:val="true"/>
        </w:trPr>
        <w:tc>
          <w:tcPr>
            <w:tcW w:w="1586" w:type="dxa"/>
            <w:tcBorders/>
            <w:vAlign w:val="center"/>
          </w:tcPr>
          <w:p>
            <w:pPr>
              <w:pStyle w:val="TableHeading"/>
              <w:suppressLineNumbers/>
              <w:bidi w:val="0"/>
              <w:jc w:val="center"/>
              <w:rPr/>
            </w:pPr>
            <w:r>
              <w:rPr/>
              <w:t>Model</w:t>
            </w:r>
          </w:p>
        </w:tc>
        <w:tc>
          <w:tcPr>
            <w:tcW w:w="802" w:type="dxa"/>
            <w:tcBorders/>
            <w:vAlign w:val="center"/>
          </w:tcPr>
          <w:p>
            <w:pPr>
              <w:pStyle w:val="TableHeading"/>
              <w:suppressLineNumbers/>
              <w:bidi w:val="0"/>
              <w:jc w:val="center"/>
              <w:rPr/>
            </w:pPr>
            <w:r>
              <w:rPr/>
              <w:t>RMSE</w:t>
            </w:r>
          </w:p>
        </w:tc>
        <w:tc>
          <w:tcPr>
            <w:tcW w:w="669" w:type="dxa"/>
            <w:tcBorders/>
            <w:vAlign w:val="center"/>
          </w:tcPr>
          <w:p>
            <w:pPr>
              <w:pStyle w:val="TableHeading"/>
              <w:suppressLineNumbers/>
              <w:bidi w:val="0"/>
              <w:jc w:val="center"/>
              <w:rPr/>
            </w:pPr>
            <w:r>
              <w:rPr/>
              <w:t>MAE</w:t>
            </w:r>
          </w:p>
        </w:tc>
        <w:tc>
          <w:tcPr>
            <w:tcW w:w="811" w:type="dxa"/>
            <w:tcBorders/>
            <w:vAlign w:val="center"/>
          </w:tcPr>
          <w:p>
            <w:pPr>
              <w:pStyle w:val="TableHeading"/>
              <w:suppressLineNumbers/>
              <w:bidi w:val="0"/>
              <w:jc w:val="center"/>
              <w:rPr/>
            </w:pPr>
            <w:r>
              <w:rPr/>
              <w:t>NSE</w:t>
            </w:r>
          </w:p>
        </w:tc>
      </w:tr>
      <w:tr>
        <w:trPr/>
        <w:tc>
          <w:tcPr>
            <w:tcW w:w="1586" w:type="dxa"/>
            <w:tcBorders/>
            <w:vAlign w:val="center"/>
          </w:tcPr>
          <w:p>
            <w:pPr>
              <w:pStyle w:val="TableContents"/>
              <w:widowControl w:val="false"/>
              <w:suppressLineNumbers/>
              <w:bidi w:val="0"/>
              <w:jc w:val="start"/>
              <w:rPr/>
            </w:pPr>
            <w:r>
              <w:rPr/>
              <w:t>Random Forest</w:t>
            </w:r>
          </w:p>
        </w:tc>
        <w:tc>
          <w:tcPr>
            <w:tcW w:w="802" w:type="dxa"/>
            <w:tcBorders/>
            <w:vAlign w:val="center"/>
          </w:tcPr>
          <w:p>
            <w:pPr>
              <w:pStyle w:val="TableContents"/>
              <w:widowControl w:val="false"/>
              <w:suppressLineNumbers/>
              <w:bidi w:val="0"/>
              <w:jc w:val="start"/>
              <w:rPr/>
            </w:pPr>
            <w:r>
              <w:rPr/>
              <w:t>26.56</w:t>
            </w:r>
          </w:p>
        </w:tc>
        <w:tc>
          <w:tcPr>
            <w:tcW w:w="669" w:type="dxa"/>
            <w:tcBorders/>
            <w:vAlign w:val="center"/>
          </w:tcPr>
          <w:p>
            <w:pPr>
              <w:pStyle w:val="TableContents"/>
              <w:widowControl w:val="false"/>
              <w:suppressLineNumbers/>
              <w:bidi w:val="0"/>
              <w:jc w:val="start"/>
              <w:rPr/>
            </w:pPr>
            <w:r>
              <w:rPr/>
              <w:t>19.72</w:t>
            </w:r>
          </w:p>
        </w:tc>
        <w:tc>
          <w:tcPr>
            <w:tcW w:w="811" w:type="dxa"/>
            <w:tcBorders/>
            <w:vAlign w:val="center"/>
          </w:tcPr>
          <w:p>
            <w:pPr>
              <w:pStyle w:val="TableContents"/>
              <w:widowControl w:val="false"/>
              <w:suppressLineNumbers/>
              <w:bidi w:val="0"/>
              <w:jc w:val="start"/>
              <w:rPr/>
            </w:pPr>
            <w:r>
              <w:rPr/>
              <w:t>0.4198</w:t>
            </w:r>
          </w:p>
        </w:tc>
      </w:tr>
      <w:tr>
        <w:trPr/>
        <w:tc>
          <w:tcPr>
            <w:tcW w:w="1586" w:type="dxa"/>
            <w:tcBorders/>
            <w:vAlign w:val="center"/>
          </w:tcPr>
          <w:p>
            <w:pPr>
              <w:pStyle w:val="TableContents"/>
              <w:widowControl w:val="false"/>
              <w:suppressLineNumbers/>
              <w:bidi w:val="0"/>
              <w:jc w:val="start"/>
              <w:rPr/>
            </w:pPr>
            <w:r>
              <w:rPr/>
              <w:t>XGBoost</w:t>
            </w:r>
          </w:p>
        </w:tc>
        <w:tc>
          <w:tcPr>
            <w:tcW w:w="802" w:type="dxa"/>
            <w:tcBorders/>
            <w:vAlign w:val="center"/>
          </w:tcPr>
          <w:p>
            <w:pPr>
              <w:pStyle w:val="TableContents"/>
              <w:widowControl w:val="false"/>
              <w:suppressLineNumbers/>
              <w:bidi w:val="0"/>
              <w:jc w:val="start"/>
              <w:rPr/>
            </w:pPr>
            <w:r>
              <w:rPr/>
              <w:t>26.09</w:t>
            </w:r>
          </w:p>
        </w:tc>
        <w:tc>
          <w:tcPr>
            <w:tcW w:w="669" w:type="dxa"/>
            <w:tcBorders/>
            <w:vAlign w:val="center"/>
          </w:tcPr>
          <w:p>
            <w:pPr>
              <w:pStyle w:val="TableContents"/>
              <w:widowControl w:val="false"/>
              <w:suppressLineNumbers/>
              <w:bidi w:val="0"/>
              <w:jc w:val="start"/>
              <w:rPr/>
            </w:pPr>
            <w:r>
              <w:rPr/>
              <w:t>18.62</w:t>
            </w:r>
          </w:p>
        </w:tc>
        <w:tc>
          <w:tcPr>
            <w:tcW w:w="811" w:type="dxa"/>
            <w:tcBorders/>
            <w:vAlign w:val="center"/>
          </w:tcPr>
          <w:p>
            <w:pPr>
              <w:pStyle w:val="TableContents"/>
              <w:widowControl w:val="false"/>
              <w:suppressLineNumbers/>
              <w:bidi w:val="0"/>
              <w:jc w:val="start"/>
              <w:rPr/>
            </w:pPr>
            <w:r>
              <w:rPr/>
              <w:t>0.4401</w:t>
            </w:r>
          </w:p>
        </w:tc>
      </w:tr>
      <w:tr>
        <w:trPr/>
        <w:tc>
          <w:tcPr>
            <w:tcW w:w="1586" w:type="dxa"/>
            <w:tcBorders/>
            <w:vAlign w:val="center"/>
          </w:tcPr>
          <w:p>
            <w:pPr>
              <w:pStyle w:val="TableContents"/>
              <w:widowControl w:val="false"/>
              <w:suppressLineNumbers/>
              <w:bidi w:val="0"/>
              <w:jc w:val="start"/>
              <w:rPr/>
            </w:pPr>
            <w:r>
              <w:rPr/>
              <w:t>CNN–GRU</w:t>
            </w:r>
          </w:p>
        </w:tc>
        <w:tc>
          <w:tcPr>
            <w:tcW w:w="802" w:type="dxa"/>
            <w:tcBorders/>
            <w:vAlign w:val="center"/>
          </w:tcPr>
          <w:p>
            <w:pPr>
              <w:pStyle w:val="TableContents"/>
              <w:widowControl w:val="false"/>
              <w:suppressLineNumbers/>
              <w:bidi w:val="0"/>
              <w:jc w:val="start"/>
              <w:rPr/>
            </w:pPr>
            <w:r>
              <w:rPr>
                <w:rStyle w:val="StrongEmphasis"/>
              </w:rPr>
              <w:t>25.22</w:t>
            </w:r>
          </w:p>
        </w:tc>
        <w:tc>
          <w:tcPr>
            <w:tcW w:w="669" w:type="dxa"/>
            <w:tcBorders/>
            <w:vAlign w:val="center"/>
          </w:tcPr>
          <w:p>
            <w:pPr>
              <w:pStyle w:val="TableContents"/>
              <w:widowControl w:val="false"/>
              <w:suppressLineNumbers/>
              <w:bidi w:val="0"/>
              <w:jc w:val="start"/>
              <w:rPr/>
            </w:pPr>
            <w:r>
              <w:rPr>
                <w:rStyle w:val="StrongEmphasis"/>
              </w:rPr>
              <w:t>17.69</w:t>
            </w:r>
          </w:p>
        </w:tc>
        <w:tc>
          <w:tcPr>
            <w:tcW w:w="811" w:type="dxa"/>
            <w:tcBorders/>
            <w:vAlign w:val="center"/>
          </w:tcPr>
          <w:p>
            <w:pPr>
              <w:pStyle w:val="TableContents"/>
              <w:widowControl w:val="false"/>
              <w:suppressLineNumbers/>
              <w:bidi w:val="0"/>
              <w:jc w:val="start"/>
              <w:rPr/>
            </w:pPr>
            <w:r>
              <w:rPr>
                <w:rStyle w:val="StrongEmphasis"/>
              </w:rPr>
              <w:t>0.4768</w:t>
            </w:r>
          </w:p>
        </w:tc>
      </w:tr>
    </w:tbl>
    <w:p>
      <w:pPr>
        <w:pStyle w:val="TextBody"/>
        <w:bidi w:val="0"/>
        <w:jc w:val="start"/>
        <w:rPr/>
      </w:pPr>
      <w:r>
        <w:rPr/>
        <w:t>The CNN–GRU model achieved the best overall performance on unseen data, followed by XGBoost and Random Forest.</w:t>
      </w:r>
    </w:p>
    <w:p>
      <w:pPr>
        <w:pStyle w:val="Normal"/>
        <w:bidi w:val="0"/>
        <w:jc w:val="start"/>
        <w:rPr/>
      </w:pPr>
      <w:r>
        <w:rPr/>
      </w:r>
    </w:p>
    <w:p>
      <w:pPr>
        <w:pStyle w:val="Heading2"/>
        <w:bidi w:val="0"/>
        <w:jc w:val="start"/>
        <w:rPr/>
      </w:pPr>
      <w:r>
        <w:rPr/>
        <w:t>4.3 XGBoost Model</w:t>
      </w:r>
    </w:p>
    <w:p>
      <w:pPr>
        <w:pStyle w:val="TextBody"/>
        <w:bidi w:val="0"/>
        <w:spacing w:lineRule="auto" w:line="276" w:before="0" w:after="140"/>
        <w:jc w:val="start"/>
        <w:rPr/>
      </w:pPr>
      <w:r>
        <w:rPr/>
        <w:t>The XGBoost model demonstrated strong learning capability during training (RMSE = 29.30, NSE = 0.7570). However, performance decreased on the test set (RMSE = 26.09, NSE = 0.4401), indicating moderate overfitting.</w:t>
      </w:r>
    </w:p>
    <w:p>
      <w:pPr>
        <w:pStyle w:val="TextBody"/>
        <w:bidi w:val="0"/>
        <w:spacing w:lineRule="auto" w:line="276" w:before="0" w:after="140"/>
        <w:jc w:val="start"/>
        <w:rPr/>
      </w:pPr>
      <w:r>
        <w:rPr/>
        <w:t>Despite this, XGBoost remained one of the strongest classical machine learning approaches in this study due to its ability to capture nonlinear relationships in the data.</w:t>
      </w:r>
    </w:p>
    <w:p>
      <w:pPr>
        <w:pStyle w:val="Normal"/>
        <w:bidi w:val="0"/>
        <w:jc w:val="start"/>
        <w:rPr/>
      </w:pPr>
      <w:r>
        <w:rPr/>
      </w:r>
    </w:p>
    <w:p>
      <w:pPr>
        <w:pStyle w:val="Normal"/>
        <w:bidi w:val="0"/>
        <w:jc w:val="start"/>
        <w:rPr/>
      </w:pPr>
      <w:r>
        <w:rPr/>
      </w:r>
    </w:p>
    <w:p>
      <w:pPr>
        <w:pStyle w:val="Heading2"/>
        <w:bidi w:val="0"/>
        <w:jc w:val="start"/>
        <w:rPr/>
      </w:pPr>
      <w:r>
        <w:rPr/>
        <w:t>4.4 Random Forest Model</w:t>
      </w:r>
    </w:p>
    <w:p>
      <w:pPr>
        <w:pStyle w:val="TextBody"/>
        <w:bidi w:val="0"/>
        <w:spacing w:lineRule="auto" w:line="276" w:before="0" w:after="140"/>
        <w:jc w:val="start"/>
        <w:rPr/>
      </w:pPr>
      <w:r>
        <w:rPr/>
        <w:t>Random Forest achieved the best training performance among classical models (RMSE = 23.37, NSE = 0.8454). However, its test performance degraded (RMSE = 26.56, NSE = 0.4198), indicating stronger overfitting compared to XGBoost.</w:t>
      </w:r>
    </w:p>
    <w:p>
      <w:pPr>
        <w:pStyle w:val="TextBody"/>
        <w:bidi w:val="0"/>
        <w:spacing w:lineRule="auto" w:line="276" w:before="0" w:after="140"/>
        <w:jc w:val="start"/>
        <w:rPr/>
      </w:pPr>
      <w:r>
        <w:rPr/>
        <w:t>This suggests that the model fits training variability very well but does not generalize optimally to unseen temporal conditions.</w:t>
      </w:r>
    </w:p>
    <w:p>
      <w:pPr>
        <w:pStyle w:val="Heading2"/>
        <w:bidi w:val="0"/>
        <w:jc w:val="start"/>
        <w:rPr/>
      </w:pPr>
      <w:r>
        <w:rPr/>
        <w:t>4.5 CNN–GRU Model</w:t>
      </w:r>
    </w:p>
    <w:p>
      <w:pPr>
        <w:pStyle w:val="TextBody"/>
        <w:bidi w:val="0"/>
        <w:spacing w:lineRule="auto" w:line="276" w:before="0" w:after="140"/>
        <w:jc w:val="start"/>
        <w:rPr/>
      </w:pPr>
      <w:r>
        <w:rPr/>
        <w:t>The CNN–GRU model exhibited weaker training performance (RMSE = 40.64, NSE = 0.5326), indicating partial underfitting. However, it achieved the best generalization performance on the test set (RMSE = 25.22, NSE = 0.4768).</w:t>
      </w:r>
    </w:p>
    <w:p>
      <w:pPr>
        <w:pStyle w:val="TextBody"/>
        <w:bidi w:val="0"/>
        <w:spacing w:lineRule="auto" w:line="276" w:before="0" w:after="140"/>
        <w:jc w:val="start"/>
        <w:rPr/>
      </w:pPr>
      <w:r>
        <w:rPr/>
        <w:t>This suggests that the model is more effective at capturing sequential dependencies and long-term temporal structure in river flow dynamics compared to purely tree-based approaches.</w:t>
      </w:r>
    </w:p>
    <w:p>
      <w:pPr>
        <w:pStyle w:val="HorizontalLine"/>
        <w:suppressLineNumbers/>
        <w:pBdr>
          <w:bottom w:val="double" w:sz="2" w:space="0" w:color="808080"/>
        </w:pBdr>
        <w:bidi w:val="0"/>
        <w:spacing w:before="0" w:after="283"/>
        <w:jc w:val="start"/>
        <w:rPr/>
      </w:pPr>
      <w:r>
        <w:rPr/>
      </w:r>
    </w:p>
    <w:p>
      <w:pPr>
        <w:pStyle w:val="Normal"/>
        <w:bidi w:val="0"/>
        <w:jc w:val="start"/>
        <w:rPr/>
      </w:pPr>
      <w:r>
        <w:rPr/>
      </w:r>
    </w:p>
    <w:p>
      <w:pPr>
        <w:pStyle w:val="Normal"/>
        <w:bidi w:val="0"/>
        <w:jc w:val="start"/>
        <w:rPr/>
      </w:pPr>
      <w:r>
        <w:rPr/>
      </w:r>
    </w:p>
    <w:p>
      <w:pPr>
        <w:pStyle w:val="Heading2"/>
        <w:bidi w:val="0"/>
        <w:jc w:val="start"/>
        <w:rPr/>
      </w:pPr>
      <w:r>
        <w:rPr/>
        <w:t>4.6 Discussion</w:t>
      </w:r>
    </w:p>
    <w:p>
      <w:pPr>
        <w:pStyle w:val="TextBody"/>
        <w:bidi w:val="0"/>
        <w:spacing w:lineRule="auto" w:line="276" w:before="0" w:after="140"/>
        <w:jc w:val="start"/>
        <w:rPr/>
      </w:pPr>
      <w:r>
        <w:rPr/>
        <w:t>The results highlight clear differences between ensemble learning models and deep learning approaches for hydrological forecasting.</w:t>
      </w:r>
    </w:p>
    <w:p>
      <w:pPr>
        <w:pStyle w:val="TextBody"/>
        <w:bidi w:val="0"/>
        <w:spacing w:lineRule="auto" w:line="276" w:before="0" w:after="140"/>
        <w:jc w:val="start"/>
        <w:rPr/>
      </w:pPr>
      <w:r>
        <w:rPr/>
        <w:t>Tree-based models (Random Forest and XGBoost) achieve strong performance on training data but exhibit reduced generalization capability. This indicates sensitivity to temporal distribution shifts and limited ability to explicitly model sequential dependencies.</w:t>
      </w:r>
    </w:p>
    <w:p>
      <w:pPr>
        <w:pStyle w:val="TextBody"/>
        <w:bidi w:val="0"/>
        <w:spacing w:lineRule="auto" w:line="276" w:before="0" w:after="140"/>
        <w:jc w:val="start"/>
        <w:rPr/>
      </w:pPr>
      <w:r>
        <w:rPr/>
        <w:t>In contrast, the CNN–GRU model generalizes better despite lower training accuracy. This behavior reflects its ability to learn temporal dependencies through recurrent connections and local pattern extraction through convolutional layers.</w:t>
      </w:r>
    </w:p>
    <w:p>
      <w:pPr>
        <w:pStyle w:val="TextBody"/>
        <w:bidi w:val="0"/>
        <w:spacing w:lineRule="auto" w:line="276" w:before="0" w:after="140"/>
        <w:jc w:val="start"/>
        <w:rPr/>
      </w:pPr>
      <w:r>
        <w:rPr/>
        <w:t>Seasonal encoding (sine and cosine transformations) improves the representation of periodic behavior, but does not fully capture inter-annual variability or extreme hydrological events, which likely contributes to residual prediction errors.</w:t>
      </w:r>
    </w:p>
    <w:p>
      <w:pPr>
        <w:pStyle w:val="Normal"/>
        <w:bidi w:val="0"/>
        <w:jc w:val="start"/>
        <w:rPr/>
      </w:pPr>
      <w:r>
        <w:rPr/>
      </w:r>
    </w:p>
    <w:p>
      <w:pPr>
        <w:pStyle w:val="Heading2"/>
        <w:bidi w:val="0"/>
        <w:jc w:val="start"/>
        <w:rPr/>
      </w:pPr>
      <w:r>
        <w:rPr/>
        <w:t>4.7 Practical Implications</w:t>
      </w:r>
    </w:p>
    <w:p>
      <w:pPr>
        <w:pStyle w:val="TextBody"/>
        <w:bidi w:val="0"/>
        <w:spacing w:lineRule="auto" w:line="276" w:before="0" w:after="140"/>
        <w:jc w:val="start"/>
        <w:rPr/>
      </w:pPr>
      <w:r>
        <w:rPr/>
        <w:t>From an operational perspective, the CNN–GRU model is the most suitable for Q_MIN forecasting due to its superior generalization performance.</w:t>
      </w:r>
    </w:p>
    <w:p>
      <w:pPr>
        <w:pStyle w:val="TextBody"/>
        <w:bidi w:val="0"/>
        <w:spacing w:lineRule="auto" w:line="276" w:before="0" w:after="140"/>
        <w:jc w:val="start"/>
        <w:rPr/>
      </w:pPr>
      <w:r>
        <w:rPr/>
        <w:t>However, XGBoost remains a competitive alternative due to its lower computational cost, robustness, and interpretability.</w:t>
      </w:r>
    </w:p>
    <w:p>
      <w:pPr>
        <w:pStyle w:val="TextBody"/>
        <w:bidi w:val="0"/>
        <w:spacing w:lineRule="auto" w:line="276" w:before="0" w:after="140"/>
        <w:jc w:val="start"/>
        <w:rPr/>
      </w:pPr>
      <w:r>
        <w:rPr/>
        <w:t>Future improvements may include:</w:t>
      </w:r>
    </w:p>
    <w:p>
      <w:pPr>
        <w:pStyle w:val="TextBody"/>
        <w:numPr>
          <w:ilvl w:val="0"/>
          <w:numId w:val="1"/>
        </w:numPr>
        <w:tabs>
          <w:tab w:val="clear" w:pos="709"/>
          <w:tab w:val="left" w:pos="709" w:leader="none"/>
        </w:tabs>
        <w:bidi w:val="0"/>
        <w:spacing w:before="0" w:after="0"/>
        <w:ind w:start="709" w:hanging="283"/>
        <w:jc w:val="start"/>
        <w:rPr/>
      </w:pPr>
      <w:r>
        <w:rPr/>
        <w:t xml:space="preserve">Incorporating exogenous variables (e.g., precipitation, temperature) </w:t>
      </w:r>
    </w:p>
    <w:p>
      <w:pPr>
        <w:pStyle w:val="TextBody"/>
        <w:numPr>
          <w:ilvl w:val="0"/>
          <w:numId w:val="1"/>
        </w:numPr>
        <w:tabs>
          <w:tab w:val="clear" w:pos="709"/>
          <w:tab w:val="left" w:pos="709" w:leader="none"/>
        </w:tabs>
        <w:bidi w:val="0"/>
        <w:spacing w:before="0" w:after="0"/>
        <w:ind w:start="709" w:hanging="283"/>
        <w:jc w:val="start"/>
        <w:rPr/>
      </w:pPr>
      <w:r>
        <w:rPr/>
        <w:t xml:space="preserve">Adding rolling statistics (mean, variance, trend features) </w:t>
      </w:r>
    </w:p>
    <w:p>
      <w:pPr>
        <w:pStyle w:val="TextBody"/>
        <w:numPr>
          <w:ilvl w:val="0"/>
          <w:numId w:val="1"/>
        </w:numPr>
        <w:tabs>
          <w:tab w:val="clear" w:pos="709"/>
          <w:tab w:val="left" w:pos="709" w:leader="none"/>
        </w:tabs>
        <w:bidi w:val="0"/>
        <w:spacing w:before="0" w:after="0"/>
        <w:ind w:start="709" w:hanging="283"/>
        <w:jc w:val="start"/>
        <w:rPr/>
      </w:pPr>
      <w:r>
        <w:rPr/>
        <w:t xml:space="preserve">Applying time-series cross-validation (rolling or expanding window) </w:t>
      </w:r>
    </w:p>
    <w:p>
      <w:pPr>
        <w:pStyle w:val="TextBody"/>
        <w:numPr>
          <w:ilvl w:val="0"/>
          <w:numId w:val="1"/>
        </w:numPr>
        <w:tabs>
          <w:tab w:val="clear" w:pos="709"/>
          <w:tab w:val="left" w:pos="709" w:leader="none"/>
        </w:tabs>
        <w:bidi w:val="0"/>
        <w:ind w:start="709" w:hanging="283"/>
        <w:jc w:val="start"/>
        <w:rPr/>
      </w:pPr>
      <w:r>
        <w:rPr/>
        <w:t>Exploring attention-based deep learning architectures</w:t>
      </w:r>
    </w:p>
    <w:p>
      <w:pPr>
        <w:pStyle w:val="Heading2"/>
        <w:bidi w:val="0"/>
        <w:jc w:val="start"/>
        <w:rPr/>
      </w:pPr>
      <w:r>
        <w:rPr/>
        <w:t>4.8 Summary</w:t>
      </w:r>
    </w:p>
    <w:p>
      <w:pPr>
        <w:pStyle w:val="TextBody"/>
        <w:bidi w:val="0"/>
        <w:spacing w:lineRule="auto" w:line="276" w:before="0" w:after="140"/>
        <w:jc w:val="start"/>
        <w:rPr/>
      </w:pPr>
      <w:r>
        <w:rPr/>
        <w:t>This study demonstrates that while ensemble methods provide strong baseline performance, hybrid deep learning models such as CNN–GRU offer improved predictive accuracy on unseen hydrological data. The results emphasize the importance of explicitly modeling temporal dependencies in river flow forecasting.</w:t>
      </w:r>
    </w:p>
    <w:p>
      <w:pPr>
        <w:pStyle w:val="HorizontalLine"/>
        <w:suppressLineNumbers/>
        <w:pBdr>
          <w:bottom w:val="double" w:sz="2" w:space="0" w:color="808080"/>
        </w:pBdr>
        <w:bidi w:val="0"/>
        <w:spacing w:before="0" w:after="283"/>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543</Words>
  <Characters>3386</Characters>
  <CharactersWithSpaces>3869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2026-05-19T11:03:06Z</dcterms:modified>
  <cp:revision>9</cp:revision>
  <dc:subject/>
  <dc:title/>
</cp:coreProperties>
</file>