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spacing w:before="60" w:after="120"/>
        <w:rPr/>
      </w:pPr>
      <w:r>
        <w:rPr/>
        <w:t>Библиографија - Димитрије Д. Чвокић</w:t>
      </w:r>
    </w:p>
    <w:p>
      <w:pPr>
        <w:pStyle w:val="Heading4"/>
        <w:bidi w:val="0"/>
        <w:jc w:val="both"/>
        <w:rPr>
          <w:color w:val="55308D"/>
        </w:rPr>
      </w:pPr>
      <w:r>
        <w:rPr>
          <w:color w:val="55308D"/>
          <w:lang w:val="sr-BA"/>
        </w:rPr>
        <w:t xml:space="preserve">Објављени радови на </w:t>
      </w:r>
      <w:r>
        <w:rPr>
          <w:color w:val="55308D"/>
          <w:lang w:val="hr-BA"/>
        </w:rPr>
        <w:t xml:space="preserve">Web of Science, Scopus, SCIndex (M24 </w:t>
      </w:r>
      <w:r>
        <w:rPr>
          <w:color w:val="55308D"/>
          <w:lang w:val="sr-BA"/>
        </w:rPr>
        <w:t xml:space="preserve">или М51), </w:t>
      </w:r>
      <w:r>
        <w:rPr>
          <w:color w:val="55308D"/>
          <w:lang w:val="hr-BA"/>
        </w:rPr>
        <w:t xml:space="preserve">CPCI-S/CPCI-SSH </w:t>
      </w:r>
      <w:r>
        <w:rPr>
          <w:color w:val="55308D"/>
          <w:lang w:val="sr-BA"/>
        </w:rPr>
        <w:t>листама у посљедњих пет година</w:t>
      </w:r>
    </w:p>
    <w:p>
      <w:pPr>
        <w:pStyle w:val="Normal"/>
        <w:rPr>
          <w:b/>
          <w:b/>
          <w:bCs/>
          <w:sz w:val="24"/>
          <w:szCs w:val="24"/>
          <w:lang w:val="sr-BA"/>
        </w:rPr>
      </w:pPr>
      <w:r>
        <w:rPr>
          <w:b/>
          <w:bCs/>
          <w:sz w:val="24"/>
          <w:szCs w:val="24"/>
          <w:lang w:val="sr-BA"/>
        </w:rPr>
        <w:t>Радови са Web of Science:</w:t>
      </w:r>
    </w:p>
    <w:p>
      <w:pPr>
        <w:pStyle w:val="Normal"/>
        <w:rPr>
          <w:lang w:val="sr-BA"/>
        </w:rPr>
      </w:pPr>
      <w:r>
        <w:rPr>
          <w:lang w:val="sr-BA"/>
        </w:rPr>
      </w:r>
    </w:p>
    <w:p>
      <w:pPr>
        <w:pStyle w:val="TextBodyIndent"/>
        <w:numPr>
          <w:ilvl w:val="0"/>
          <w:numId w:val="1"/>
        </w:numPr>
        <w:spacing w:lineRule="atLeast" w:line="300"/>
        <w:ind w:left="300" w:hanging="360"/>
        <w:rPr>
          <w:rFonts w:ascii="Times new roman" w:hAnsi="Times new roman"/>
          <w:sz w:val="22"/>
          <w:szCs w:val="22"/>
        </w:rPr>
      </w:pPr>
      <w:r>
        <w:rPr>
          <w:rFonts w:eastAsia="Open Sans" w:cs="Calibri Light" w:ascii="Times new roman" w:hAnsi="Times new roman"/>
          <w:i w:val="false"/>
          <w:iCs w:val="false"/>
          <w:color w:val="222222"/>
          <w:position w:val="0"/>
          <w:sz w:val="22"/>
          <w:sz w:val="22"/>
          <w:szCs w:val="22"/>
          <w:u w:val="none"/>
          <w:vertAlign w:val="baseline"/>
        </w:rPr>
        <w:t xml:space="preserve">Majić A, Arsenović D, Čvokić DD. (2022) Behavioral and Metabolic Risk Factors for Noncommunicable Diseases among Population in the Republic of Srpska (Bosnia and Herzegovina). </w:t>
      </w:r>
      <w:r>
        <w:rPr>
          <w:rFonts w:eastAsia="Open Sans" w:cs="Calibri Light" w:ascii="Times new roman" w:hAnsi="Times new roman"/>
          <w:i/>
          <w:iCs/>
          <w:color w:val="222222"/>
          <w:position w:val="0"/>
          <w:sz w:val="22"/>
          <w:sz w:val="22"/>
          <w:szCs w:val="22"/>
          <w:u w:val="none"/>
          <w:vertAlign w:val="baseline"/>
        </w:rPr>
        <w:t>Healthcare</w:t>
      </w:r>
      <w:r>
        <w:rPr>
          <w:rFonts w:eastAsia="Open Sans" w:cs="Calibri Light" w:ascii="Times new roman" w:hAnsi="Times new roman"/>
          <w:i w:val="false"/>
          <w:iCs w:val="false"/>
          <w:color w:val="222222"/>
          <w:position w:val="0"/>
          <w:sz w:val="22"/>
          <w:sz w:val="22"/>
          <w:szCs w:val="22"/>
          <w:u w:val="none"/>
          <w:vertAlign w:val="baseline"/>
        </w:rPr>
        <w:t>. 2023; 11(4):483. https://doi.org/10.3390/healthcare11040483</w:t>
      </w:r>
      <w:r>
        <w:rPr>
          <w:rFonts w:eastAsia="Open Sans" w:cs="Calibri Light" w:ascii="Times new roman" w:hAnsi="Times new roman"/>
          <w:i w:val="false"/>
          <w:iCs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(SCI journal, </w:t>
      </w:r>
      <w:r>
        <w:rPr>
          <w:rFonts w:eastAsia="Open Sans" w:cs="Calibri Light" w:ascii="Times new roman" w:hAnsi="Times new roman"/>
          <w:i/>
          <w:iCs/>
          <w:color w:val="000000"/>
          <w:position w:val="0"/>
          <w:sz w:val="22"/>
          <w:sz w:val="22"/>
          <w:szCs w:val="22"/>
          <w:u w:val="none"/>
          <w:vertAlign w:val="baseline"/>
        </w:rPr>
        <w:t>IF2022=</w:t>
      </w:r>
      <w:r>
        <w:rPr>
          <w:rFonts w:eastAsia="Open Sans" w:cs="Calibri Light" w:ascii="Times new roman" w:hAnsi="Times new roman"/>
          <w:b/>
          <w:bCs/>
          <w:i/>
          <w:iCs/>
          <w:color w:val="000000"/>
          <w:position w:val="0"/>
          <w:sz w:val="22"/>
          <w:sz w:val="22"/>
          <w:szCs w:val="22"/>
          <w:u w:val="none"/>
          <w:vertAlign w:val="baseline"/>
        </w:rPr>
        <w:t>3.160</w:t>
      </w:r>
      <w:r>
        <w:rPr>
          <w:rFonts w:eastAsia="Open Sans" w:cs="Calibri Light" w:ascii="Times new roman" w:hAnsi="Times new roman"/>
          <w:i w:val="false"/>
          <w:iCs w:val="false"/>
          <w:color w:val="000000"/>
          <w:position w:val="0"/>
          <w:sz w:val="22"/>
          <w:sz w:val="22"/>
          <w:szCs w:val="22"/>
          <w:u w:val="none"/>
          <w:vertAlign w:val="baseline"/>
        </w:rPr>
        <w:t>)</w:t>
      </w:r>
    </w:p>
    <w:p>
      <w:pPr>
        <w:pStyle w:val="TextBodyIndent"/>
        <w:numPr>
          <w:ilvl w:val="0"/>
          <w:numId w:val="0"/>
        </w:numPr>
        <w:spacing w:lineRule="atLeast" w:line="300"/>
        <w:ind w:left="-60" w:hanging="0"/>
        <w:rPr>
          <w:rFonts w:ascii="Times new roman" w:hAnsi="Times new roman"/>
          <w:sz w:val="22"/>
          <w:szCs w:val="22"/>
          <w:lang w:val="sr-BA"/>
        </w:rPr>
      </w:pPr>
      <w:r>
        <w:rPr>
          <w:rFonts w:ascii="Times new roman" w:hAnsi="Times new roman"/>
          <w:sz w:val="22"/>
          <w:szCs w:val="22"/>
          <w:lang w:val="sr-BA"/>
        </w:rPr>
      </w:r>
    </w:p>
    <w:p>
      <w:pPr>
        <w:pStyle w:val="TextBodyIndent"/>
        <w:numPr>
          <w:ilvl w:val="0"/>
          <w:numId w:val="1"/>
        </w:numPr>
        <w:spacing w:lineRule="atLeast" w:line="300"/>
        <w:ind w:left="300" w:hanging="360"/>
        <w:rPr>
          <w:rFonts w:ascii="Times new roman" w:hAnsi="Times new roman"/>
          <w:sz w:val="22"/>
          <w:szCs w:val="22"/>
        </w:rPr>
      </w:pPr>
      <w:r>
        <w:rPr>
          <w:rFonts w:eastAsia="Open Sans" w:cs="Calibri Light" w:ascii="Times new roman" w:hAnsi="Times new roman"/>
          <w:i w:val="false"/>
          <w:iCs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Čvokić, D.D., Kochetov, Y.A., Plyasunov, A.V., Savić, A. (2022). A VNS solution approach for (r|p) hub-centroid problem under the price war. Journal of Global Optimization (SCI journal, </w:t>
      </w:r>
      <w:r>
        <w:rPr>
          <w:rFonts w:eastAsia="Open Sans" w:cs="Calibri Light" w:ascii="Times new roman" w:hAnsi="Times new roman"/>
          <w:i/>
          <w:iCs/>
          <w:color w:val="000000"/>
          <w:position w:val="0"/>
          <w:sz w:val="22"/>
          <w:sz w:val="22"/>
          <w:szCs w:val="22"/>
          <w:u w:val="none"/>
          <w:vertAlign w:val="baseline"/>
        </w:rPr>
        <w:t>IF2022=</w:t>
      </w:r>
      <w:r>
        <w:rPr>
          <w:rFonts w:eastAsia="Open Sans" w:cs="Calibri Light" w:ascii="Times new roman" w:hAnsi="Times new roman"/>
          <w:b/>
          <w:bCs/>
          <w:i/>
          <w:iCs/>
          <w:color w:val="000000"/>
          <w:position w:val="0"/>
          <w:sz w:val="22"/>
          <w:sz w:val="22"/>
          <w:szCs w:val="22"/>
          <w:u w:val="none"/>
          <w:vertAlign w:val="baseline"/>
        </w:rPr>
        <w:t>1.8</w:t>
      </w:r>
      <w:r>
        <w:rPr>
          <w:rFonts w:eastAsia="Open Sans" w:cs="Calibri Light" w:ascii="Times new roman" w:hAnsi="Times new roman"/>
          <w:i w:val="false"/>
          <w:iCs w:val="false"/>
          <w:color w:val="000000"/>
          <w:position w:val="0"/>
          <w:sz w:val="22"/>
          <w:sz w:val="22"/>
          <w:szCs w:val="22"/>
          <w:u w:val="none"/>
          <w:vertAlign w:val="baseline"/>
        </w:rPr>
        <w:t>)</w:t>
      </w:r>
    </w:p>
    <w:p>
      <w:pPr>
        <w:pStyle w:val="TextBodyIndent"/>
        <w:numPr>
          <w:ilvl w:val="0"/>
          <w:numId w:val="0"/>
        </w:numPr>
        <w:spacing w:lineRule="atLeast" w:line="300"/>
        <w:ind w:left="-60" w:hanging="0"/>
        <w:rPr>
          <w:rFonts w:ascii="Times new roman" w:hAnsi="Times new roman"/>
          <w:sz w:val="22"/>
          <w:szCs w:val="22"/>
          <w:lang w:val="sr-BA"/>
        </w:rPr>
      </w:pPr>
      <w:r>
        <w:rPr>
          <w:rFonts w:ascii="Times new roman" w:hAnsi="Times new roman"/>
          <w:sz w:val="22"/>
          <w:szCs w:val="22"/>
          <w:lang w:val="sr-BA"/>
        </w:rPr>
      </w:r>
    </w:p>
    <w:p>
      <w:pPr>
        <w:pStyle w:val="TextBodyIndent"/>
        <w:numPr>
          <w:ilvl w:val="0"/>
          <w:numId w:val="1"/>
        </w:numPr>
        <w:spacing w:lineRule="atLeast" w:line="300"/>
        <w:ind w:left="300" w:hanging="360"/>
        <w:rPr>
          <w:rFonts w:ascii="Times new roman" w:hAnsi="Times new roman"/>
          <w:sz w:val="22"/>
          <w:szCs w:val="22"/>
        </w:rPr>
      </w:pPr>
      <w:r>
        <w:rPr>
          <w:rFonts w:eastAsia="Open Sans" w:cs="Calibri Light" w:ascii="Times new roman" w:hAnsi="Times new roman"/>
          <w:i w:val="false"/>
          <w:iCs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Čvokić, D.D.: A leader-follower single allocation hub location under fixed markups . Filomat 34(8) (2020) (SCI journal, </w:t>
      </w:r>
      <w:r>
        <w:rPr>
          <w:rFonts w:eastAsia="Open Sans" w:cs="Calibri Light" w:ascii="Times new roman" w:hAnsi="Times new roman"/>
          <w:i/>
          <w:iCs/>
          <w:color w:val="000000"/>
          <w:position w:val="0"/>
          <w:sz w:val="22"/>
          <w:sz w:val="22"/>
          <w:szCs w:val="22"/>
          <w:u w:val="none"/>
          <w:vertAlign w:val="baseline"/>
        </w:rPr>
        <w:t>IF2020=</w:t>
      </w:r>
      <w:r>
        <w:rPr>
          <w:rFonts w:eastAsia="Open Sans" w:cs="Calibri Light" w:ascii="Times new roman" w:hAnsi="Times new roman"/>
          <w:b/>
          <w:bCs/>
          <w:i/>
          <w:iCs/>
          <w:color w:val="000000"/>
          <w:position w:val="0"/>
          <w:sz w:val="22"/>
          <w:sz w:val="22"/>
          <w:szCs w:val="22"/>
          <w:u w:val="none"/>
          <w:vertAlign w:val="baseline"/>
        </w:rPr>
        <w:t>0.844</w:t>
      </w:r>
      <w:r>
        <w:rPr>
          <w:rFonts w:eastAsia="Open Sans" w:cs="Calibri Light" w:ascii="Times new roman" w:hAnsi="Times new roman"/>
          <w:i w:val="false"/>
          <w:iCs w:val="false"/>
          <w:color w:val="000000"/>
          <w:position w:val="0"/>
          <w:sz w:val="22"/>
          <w:sz w:val="22"/>
          <w:szCs w:val="22"/>
          <w:u w:val="none"/>
          <w:vertAlign w:val="baseline"/>
        </w:rPr>
        <w:t>)</w:t>
      </w:r>
    </w:p>
    <w:p>
      <w:pPr>
        <w:pStyle w:val="TextBodyIndent"/>
        <w:numPr>
          <w:ilvl w:val="0"/>
          <w:numId w:val="0"/>
        </w:numPr>
        <w:spacing w:lineRule="atLeast" w:line="300"/>
        <w:ind w:left="-60" w:hanging="0"/>
        <w:rPr>
          <w:rFonts w:ascii="Times new roman" w:hAnsi="Times new roman"/>
          <w:sz w:val="22"/>
          <w:szCs w:val="22"/>
          <w:lang w:val="sr-BA"/>
        </w:rPr>
      </w:pPr>
      <w:r>
        <w:rPr>
          <w:rFonts w:ascii="Times new roman" w:hAnsi="Times new roman"/>
          <w:sz w:val="22"/>
          <w:szCs w:val="22"/>
          <w:lang w:val="sr-BA"/>
        </w:rPr>
      </w:r>
    </w:p>
    <w:p>
      <w:pPr>
        <w:pStyle w:val="TextBodyIndent"/>
        <w:numPr>
          <w:ilvl w:val="0"/>
          <w:numId w:val="1"/>
        </w:numPr>
        <w:spacing w:lineRule="atLeast" w:line="300"/>
        <w:ind w:left="300" w:hanging="360"/>
        <w:rPr>
          <w:rFonts w:ascii="Times new roman" w:hAnsi="Times new roman"/>
          <w:sz w:val="22"/>
          <w:szCs w:val="22"/>
        </w:rPr>
      </w:pPr>
      <w:r>
        <w:rPr>
          <w:rFonts w:eastAsia="Open Sans" w:cs="Calibri Light" w:ascii="Times new roman" w:hAnsi="Times new roman"/>
          <w:i w:val="false"/>
          <w:iCs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Čvokić, D.D. &amp; Stanimirović, Z.: A single allocation hub location and pricing problem. Comp. Appl. Math.  39 (2020). https://doi.org/10.1007/s40314-019-1025-z  (SCI journal, </w:t>
      </w:r>
      <w:r>
        <w:rPr>
          <w:rFonts w:eastAsia="Open Sans" w:cs="Calibri Light" w:ascii="Times new roman" w:hAnsi="Times new roman"/>
          <w:i/>
          <w:iCs/>
          <w:color w:val="000000"/>
          <w:position w:val="0"/>
          <w:sz w:val="22"/>
          <w:sz w:val="22"/>
          <w:szCs w:val="22"/>
          <w:u w:val="none"/>
          <w:vertAlign w:val="baseline"/>
        </w:rPr>
        <w:t>IF2020=</w:t>
      </w:r>
      <w:r>
        <w:rPr>
          <w:rFonts w:eastAsia="Open Sans" w:cs="Calibri Light" w:ascii="Times new roman" w:hAnsi="Times new roman"/>
          <w:b/>
          <w:bCs/>
          <w:i/>
          <w:iCs/>
          <w:color w:val="000000"/>
          <w:position w:val="0"/>
          <w:sz w:val="22"/>
          <w:sz w:val="22"/>
          <w:szCs w:val="22"/>
          <w:u w:val="none"/>
          <w:vertAlign w:val="baseline"/>
        </w:rPr>
        <w:t>2.037</w:t>
      </w:r>
      <w:r>
        <w:rPr>
          <w:rFonts w:eastAsia="Open Sans" w:cs="Calibri Light" w:ascii="Times new roman" w:hAnsi="Times new roman"/>
          <w:i w:val="false"/>
          <w:iCs w:val="false"/>
          <w:color w:val="000000"/>
          <w:position w:val="0"/>
          <w:sz w:val="22"/>
          <w:sz w:val="22"/>
          <w:szCs w:val="22"/>
          <w:u w:val="none"/>
          <w:vertAlign w:val="baseline"/>
        </w:rPr>
        <w:t>)</w:t>
      </w:r>
    </w:p>
    <w:p>
      <w:pPr>
        <w:pStyle w:val="TextBodyIndent"/>
        <w:spacing w:lineRule="atLeast" w:line="300"/>
        <w:ind w:left="144" w:hanging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TextBodyIndent"/>
        <w:spacing w:lineRule="atLeast" w:line="300"/>
        <w:ind w:left="144" w:hanging="0"/>
        <w:rPr/>
      </w:pPr>
      <w:r>
        <w:rPr/>
      </w:r>
    </w:p>
    <w:p>
      <w:pPr>
        <w:pStyle w:val="TextBodyIndent"/>
        <w:spacing w:lineRule="atLeast" w:line="300"/>
        <w:ind w:left="144" w:hanging="0"/>
        <w:rPr>
          <w:b/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Радови у </w:t>
      </w:r>
      <w:r>
        <w:rPr>
          <w:b/>
          <w:bCs/>
          <w:color w:val="000000"/>
          <w:sz w:val="22"/>
          <w:szCs w:val="22"/>
          <w:lang w:val="hr-BA"/>
        </w:rPr>
        <w:t>SCIndex (M24 ili M51):</w:t>
      </w:r>
      <w:r>
        <w:rPr>
          <w:b/>
          <w:bCs/>
          <w:color w:val="55308D"/>
          <w:sz w:val="22"/>
          <w:szCs w:val="22"/>
          <w:lang w:val="hr-BA"/>
        </w:rPr>
        <w:t xml:space="preserve">  </w:t>
      </w:r>
    </w:p>
    <w:p>
      <w:pPr>
        <w:pStyle w:val="TextBodyIndent"/>
        <w:spacing w:lineRule="atLeast" w:line="300"/>
        <w:ind w:left="144" w:hanging="0"/>
        <w:rPr>
          <w:color w:val="55308D"/>
          <w:lang w:val="hr-BA"/>
        </w:rPr>
      </w:pPr>
      <w:r>
        <w:rPr>
          <w:color w:val="55308D"/>
          <w:lang w:val="hr-BA"/>
        </w:rPr>
      </w:r>
    </w:p>
    <w:p>
      <w:pPr>
        <w:pStyle w:val="TextBodyIndent"/>
        <w:numPr>
          <w:ilvl w:val="0"/>
          <w:numId w:val="0"/>
        </w:numPr>
        <w:spacing w:lineRule="atLeast" w:line="300"/>
        <w:ind w:left="811" w:hanging="0"/>
        <w:rPr>
          <w:rFonts w:ascii="Times new roman" w:hAnsi="Times new roman"/>
        </w:rPr>
      </w:pPr>
      <w:r>
        <w:rPr>
          <w:rFonts w:eastAsia="Open Sans" w:cs="Calibri Light" w:ascii="Times new roman" w:hAnsi="Times new roman"/>
          <w:i w:val="false"/>
          <w:iCs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1. Čvokić, D.D. (2020) Cutting testing costs by the pooling design. MTC.    68(4), 743-759 doi: https://doi.org/10.5937/vojtehg68-28078  </w:t>
      </w:r>
      <w:r>
        <w:rPr>
          <w:rFonts w:eastAsia="Open Sans" w:cs="Calibri Light" w:ascii="Times new roman" w:hAnsi="Times new roman"/>
          <w:i w:val="false"/>
          <w:iCs w:val="false"/>
          <w:color w:val="000000"/>
          <w:position w:val="0"/>
          <w:sz w:val="22"/>
          <w:sz w:val="22"/>
          <w:szCs w:val="22"/>
          <w:u w:val="none"/>
          <w:vertAlign w:val="baseline"/>
          <w:lang w:val="sr-BA"/>
        </w:rPr>
        <w:t xml:space="preserve">(М51)  </w:t>
      </w:r>
    </w:p>
    <w:p>
      <w:pPr>
        <w:pStyle w:val="TextBodyIndent"/>
        <w:numPr>
          <w:ilvl w:val="0"/>
          <w:numId w:val="0"/>
        </w:numPr>
        <w:spacing w:lineRule="atLeast" w:line="300"/>
        <w:ind w:left="0" w:hanging="0"/>
        <w:rPr>
          <w:rFonts w:ascii="Calibri Light" w:hAnsi="Calibri Light" w:eastAsia="Open Sans" w:cs="Calibri Light"/>
          <w:i w:val="false"/>
          <w:i w:val="false"/>
          <w:iCs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Calibri Light" w:ascii="Calibri Light" w:hAnsi="Calibri Light"/>
          <w:i w:val="false"/>
          <w:iCs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TextBodyIndent"/>
        <w:numPr>
          <w:ilvl w:val="0"/>
          <w:numId w:val="0"/>
        </w:numPr>
        <w:spacing w:lineRule="atLeast" w:line="300"/>
        <w:ind w:left="0" w:hanging="0"/>
        <w:rPr>
          <w:rFonts w:ascii="Calibri Light" w:hAnsi="Calibri Light" w:eastAsia="Open Sans" w:cs="Calibri Light"/>
          <w:i w:val="false"/>
          <w:i w:val="false"/>
          <w:iCs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Calibri Light" w:ascii="Calibri Light" w:hAnsi="Calibri Light"/>
          <w:i w:val="false"/>
          <w:iCs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Heading4"/>
        <w:bidi w:val="0"/>
        <w:jc w:val="both"/>
        <w:rPr>
          <w:color w:val="2A6099"/>
        </w:rPr>
      </w:pPr>
      <w:r>
        <w:rPr>
          <w:color w:val="2A6099"/>
          <w:lang w:val="sr-BA"/>
        </w:rPr>
        <w:t>Радови у националним часописима (друга и трећа категорија) и зборницима и монографијама у посљедњих пет година</w:t>
      </w:r>
    </w:p>
    <w:p>
      <w:pPr>
        <w:pStyle w:val="TextBodyIndent"/>
        <w:numPr>
          <w:ilvl w:val="0"/>
          <w:numId w:val="2"/>
        </w:numPr>
        <w:spacing w:lineRule="atLeast" w:line="300"/>
        <w:ind w:left="425" w:hanging="425"/>
        <w:rPr>
          <w:rFonts w:ascii="Times new roman" w:hAnsi="Times new roman"/>
        </w:rPr>
      </w:pPr>
      <w:r>
        <w:rPr>
          <w:rFonts w:eastAsia="Open Sans" w:cs="Calibri Light" w:ascii="Times new roman" w:hAnsi="Times new roman"/>
          <w:i w:val="false"/>
          <w:iCs w:val="false"/>
          <w:color w:val="000000"/>
          <w:position w:val="0"/>
          <w:sz w:val="22"/>
          <w:sz w:val="22"/>
          <w:szCs w:val="22"/>
          <w:u w:val="none"/>
          <w:vertAlign w:val="baseline"/>
        </w:rPr>
        <w:t>Вукобрат, Ч., Марчетин, Ђ., Бегојев, С., Франић-Лазаревић, Б., Чвокић, Д. (2023) PIM COD - Платформа за праћење и оптимизацију инвестиционог процеса у грађевинарству. In: Стојковић, Д., Петровић, Д., Димић, С. (eds) Зборник радова / 50. Симпозијум о операционим истраживањима SYM-OP-IS 2023,  pp. 371-376. Одбрана, Београд</w:t>
      </w:r>
    </w:p>
    <w:p>
      <w:pPr>
        <w:pStyle w:val="TextBodyIndent"/>
        <w:numPr>
          <w:ilvl w:val="0"/>
          <w:numId w:val="0"/>
        </w:numPr>
        <w:spacing w:lineRule="atLeast" w:line="300"/>
        <w:ind w:left="360" w:hanging="0"/>
        <w:rPr>
          <w:rFonts w:ascii="Times new roman" w:hAnsi="Times new roman" w:cs="Calibri Light"/>
          <w:sz w:val="22"/>
          <w:szCs w:val="22"/>
        </w:rPr>
      </w:pPr>
      <w:r>
        <w:rPr>
          <w:rFonts w:cs="Calibri Light" w:ascii="Times new roman" w:hAnsi="Times new roman"/>
          <w:sz w:val="22"/>
          <w:szCs w:val="22"/>
        </w:rPr>
      </w:r>
    </w:p>
    <w:p>
      <w:pPr>
        <w:pStyle w:val="TextBodyIndent"/>
        <w:numPr>
          <w:ilvl w:val="0"/>
          <w:numId w:val="2"/>
        </w:numPr>
        <w:spacing w:lineRule="atLeast" w:line="300"/>
        <w:ind w:left="425" w:hanging="425"/>
        <w:rPr>
          <w:rFonts w:ascii="Times new roman" w:hAnsi="Times new roman"/>
        </w:rPr>
      </w:pPr>
      <w:r>
        <w:rPr>
          <w:rFonts w:eastAsia="Open Sans" w:cs="Calibri Light" w:ascii="Times new roman" w:hAnsi="Times new roman"/>
          <w:i w:val="false"/>
          <w:iCs w:val="false"/>
          <w:color w:val="000000"/>
          <w:position w:val="0"/>
          <w:sz w:val="22"/>
          <w:sz w:val="22"/>
          <w:szCs w:val="22"/>
          <w:u w:val="none"/>
          <w:vertAlign w:val="baseline"/>
        </w:rPr>
        <w:t>Čvokić D.D., Kochetov Y.A., Plyasunov A.V., Savić A. (2019) The Competitive Hub Location Under the Price War. In: Khachay M., Kochetov Y., Pardalos P. (eds) Mathematical Optimization Theory and Operations Research. MOTOR 2019. Lecture Notes in Computer Science, vol 11548. Springer, Cham 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5"/>
        </w:tabs>
        <w:ind w:left="5" w:hanging="425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semiHidden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0"/>
    <w:unhideWhenUsed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9"/>
    <w:uiPriority w:val="0"/>
    <w:unhideWhenUsed/>
    <w:qFormat/>
    <w:pPr>
      <w:keepNext w:val="true"/>
      <w:keepLines/>
      <w:spacing w:lineRule="auto" w:line="374" w:before="280" w:after="29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eading4Char" w:customStyle="1">
    <w:name w:val="Heading 4 Char"/>
    <w:link w:val="5"/>
    <w:uiPriority w:val="0"/>
    <w:qFormat/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uiPriority w:val="0"/>
    <w:pPr>
      <w:ind w:left="144" w:hanging="144"/>
    </w:pPr>
    <w:rPr>
      <w:rFonts w:ascii="Arial Narrow" w:hAnsi="Arial Narrow" w:eastAsia="MS Mincho" w:cs="Lucida Sans Unicod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table" w:default="1" w:styleId="7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Application>LibreOffice/6.4.7.2$Linux_X86_64 LibreOffice_project/40$Build-2</Application>
  <Pages>2</Pages>
  <Words>259</Words>
  <Characters>1621</Characters>
  <CharactersWithSpaces>1874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2023-11-29T12:50:00Z</dcterms:created>
  <dc:creator>Dimitrije Cvokic</dc:creator>
  <dc:description/>
  <dc:language>en-US</dc:language>
  <cp:lastModifiedBy/>
  <dcterms:modified xsi:type="dcterms:W3CDTF">2023-12-06T13:24:42Z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6AF5AD4BAA7244878390703BB3F1AA9B_11</vt:lpwstr>
  </property>
  <property fmtid="{D5CDD505-2E9C-101B-9397-08002B2CF9AE}" pid="4" name="KSOProductBuildVer">
    <vt:lpwstr>1033-12.2.0.13306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