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</w:tcPr>
          <w:p>
            <w:r/>
            <w:r>
              <w:rPr>
                <w:b/>
                <w:i w:val="0"/>
                <w:sz w:val="20"/>
              </w:rPr>
              <w:t>{{ client.name }}</w:t>
            </w:r>
          </w:p>
        </w:tc>
        <w:tc>
          <w:tcPr>
            <w:tcW w:type="dxa" w:w="3213"/>
          </w:tcPr>
          <w:p>
            <w:r/>
            <w:r>
              <w:rPr>
                <w:b w:val="0"/>
                <w:i w:val="0"/>
                <w:sz w:val="20"/>
              </w:rPr>
              <w:t>{{ client.address }}</w:t>
            </w:r>
          </w:p>
        </w:tc>
        <w:tc>
          <w:tcPr>
            <w:tcW w:type="dxa" w:w="3213"/>
          </w:tcPr>
          <w:p>
            <w:r/>
            <w:r>
              <w:rPr>
                <w:b w:val="0"/>
                <w:i w:val="0"/>
                <w:sz w:val="20"/>
              </w:rPr>
              <w:t>{{ client.tax_id }}</w:t>
            </w:r>
          </w:p>
        </w:tc>
      </w:tr>
      <w:tr>
        <w:tc>
          <w:tcPr>
            <w:tcW w:type="dxa" w:w="3213"/>
          </w:tcPr>
          <w:p>
            <w:r/>
            <w:r>
              <w:rPr>
                <w:b w:val="0"/>
                <w:i w:val="0"/>
                <w:sz w:val="16"/>
              </w:rPr>
              <w:t>Poslovno ime poslodavca</w:t>
            </w:r>
          </w:p>
        </w:tc>
        <w:tc>
          <w:tcPr>
            <w:tcW w:type="dxa" w:w="3213"/>
          </w:tcPr>
          <w:p>
            <w:r/>
            <w:r>
              <w:rPr>
                <w:b w:val="0"/>
                <w:i w:val="0"/>
                <w:sz w:val="16"/>
              </w:rPr>
              <w:t>Adresa sedišta</w:t>
            </w:r>
          </w:p>
        </w:tc>
        <w:tc>
          <w:tcPr>
            <w:tcW w:type="dxa" w:w="3213"/>
          </w:tcPr>
          <w:p>
            <w:r/>
            <w:r>
              <w:rPr>
                <w:b w:val="0"/>
                <w:i w:val="0"/>
                <w:sz w:val="16"/>
              </w:rPr>
              <w:t>PIB</w:t>
            </w:r>
          </w:p>
        </w:tc>
      </w:tr>
    </w:tbl>
    <w:p/>
    <w:p>
      <w:pPr>
        <w:jc w:val="center"/>
      </w:pPr>
      <w:r>
        <w:rPr>
          <w:b/>
          <w:i w:val="0"/>
          <w:sz w:val="28"/>
        </w:rPr>
        <w:t>PROGRAM OBUKE ZA BEZBEDAN I ZDRAV RAD</w:t>
      </w:r>
    </w:p>
    <w:p>
      <w:pPr>
        <w:jc w:val="center"/>
      </w:pPr>
      <w:r>
        <w:rPr>
          <w:b w:val="0"/>
          <w:i w:val="0"/>
          <w:sz w:val="22"/>
        </w:rPr>
        <w:t>za predstavnike zaposlenih za bezbednost i zdravlje na radu</w:t>
      </w:r>
    </w:p>
    <w:p>
      <w:pPr>
        <w:jc w:val="both"/>
      </w:pPr>
      <w:r>
        <w:rPr>
          <w:b w:val="0"/>
          <w:i w:val="0"/>
          <w:sz w:val="22"/>
        </w:rPr>
        <w:t>Ovaj program obuke za bezbedan i zdrav rad donosi se u skladu sa članom 35. Zakona o bezbednosti i zdravlju na radu ("Sl. glasnik RS", br. 35/2023), kao i sa pratećim podzakonskim aktima, u privrednom društvu {{ client.name }} (u daljem tekstu: poslodavac).</w:t>
      </w:r>
    </w:p>
    <w:p>
      <w:pPr>
        <w:jc w:val="both"/>
      </w:pPr>
      <w:r>
        <w:rPr>
          <w:b w:val="0"/>
          <w:i w:val="0"/>
          <w:sz w:val="22"/>
        </w:rPr>
        <w:t>Program utvrđuje sadržaj, obim, način i trajanje obuke za predstavnike zaposlenih za bezbednost i zdravlje na radu.</w:t>
      </w:r>
    </w:p>
    <w:p/>
    <w:p>
      <w:pPr>
        <w:keepNext/>
      </w:pPr>
      <w:r>
        <w:rPr>
          <w:b/>
          <w:i w:val="0"/>
          <w:sz w:val="24"/>
        </w:rPr>
        <w:t>Cilj obuke</w:t>
      </w:r>
    </w:p>
    <w:p>
      <w:pPr>
        <w:jc w:val="both"/>
      </w:pPr>
      <w:r>
        <w:rPr>
          <w:b w:val="0"/>
          <w:i w:val="0"/>
          <w:sz w:val="22"/>
        </w:rPr>
        <w:t>Cilj obuke je da predstavnici zaposlenih steknu znanja potrebna za ostvarivanje svoje uloge i ovlašćenja, da aktivno učestvuju u zaštiti bezbednosti i zdravlja zaposlenih i da kroz saradnju sa poslodavcem doprinose unapređivanju uslova rada.</w:t>
      </w:r>
    </w:p>
    <w:p/>
    <w:p>
      <w:pPr>
        <w:keepNext/>
      </w:pPr>
      <w:r>
        <w:rPr>
          <w:b/>
          <w:i w:val="0"/>
          <w:sz w:val="24"/>
        </w:rPr>
        <w:t>Teorijski deo</w:t>
      </w:r>
    </w:p>
    <w:p>
      <w:r>
        <w:rPr>
          <w:b w:val="0"/>
          <w:i w:val="0"/>
          <w:sz w:val="22"/>
        </w:rPr>
        <w:t>Teorijski deo obuke obuhvata sledeće teme:</w:t>
      </w:r>
    </w:p>
    <w:p>
      <w:pPr>
        <w:pStyle w:val="ListBullet"/>
      </w:pPr>
      <w:r>
        <w:t>uloga, prava i ovlašćenja predstavnika zaposlenih za bezbednost i zdravlje na radu</w:t>
      </w:r>
    </w:p>
    <w:p>
      <w:pPr>
        <w:pStyle w:val="ListBullet"/>
      </w:pPr>
      <w:r>
        <w:t>način izbora predstavnika i rad odbora za bezbednost i zdravlje na radu</w:t>
      </w:r>
    </w:p>
    <w:p>
      <w:pPr>
        <w:pStyle w:val="ListBullet"/>
      </w:pPr>
      <w:r>
        <w:t>učešće u postupku procene rizika i u razmatranju akta o proceni rizika</w:t>
      </w:r>
    </w:p>
    <w:p>
      <w:pPr>
        <w:pStyle w:val="ListBullet"/>
      </w:pPr>
      <w:r>
        <w:t>konsultacije sa poslodavcem o pitanjima bezbednosti i zdravlja na radu</w:t>
      </w:r>
    </w:p>
    <w:p>
      <w:pPr>
        <w:pStyle w:val="ListBullet"/>
      </w:pPr>
      <w:r>
        <w:t>praćenje primene mera za bezbedan i zdrav rad na radnim mestima</w:t>
      </w:r>
    </w:p>
    <w:p>
      <w:pPr>
        <w:pStyle w:val="ListBullet"/>
      </w:pPr>
      <w:r>
        <w:t>prikupljanje primedbi zaposlenih i pokretanje predloga za unapređenje</w:t>
      </w:r>
    </w:p>
    <w:p>
      <w:pPr>
        <w:pStyle w:val="ListBullet"/>
      </w:pPr>
      <w:r>
        <w:t>obaveštavanje zaposlenih i saradnja sa savetnikom, odnosno saradnikom za bezbednost i zdravlje na radu</w:t>
      </w:r>
    </w:p>
    <w:p>
      <w:pPr>
        <w:pStyle w:val="ListBullet"/>
      </w:pPr>
      <w:r>
        <w:t>pravo obraćanja inspekciji rada i učešće u nadzoru inspekcije</w:t>
      </w:r>
    </w:p>
    <w:p/>
    <w:p>
      <w:pPr>
        <w:keepNext/>
      </w:pPr>
      <w:r>
        <w:rPr>
          <w:b/>
          <w:i w:val="0"/>
          <w:sz w:val="24"/>
        </w:rPr>
        <w:t>Praktični deo</w:t>
      </w:r>
    </w:p>
    <w:p>
      <w:pPr>
        <w:jc w:val="both"/>
      </w:pPr>
      <w:r>
        <w:rPr>
          <w:b w:val="0"/>
          <w:i w:val="0"/>
          <w:sz w:val="22"/>
        </w:rPr>
        <w:t>Praktični deo obuhvata učešće u obilasku radnih mesta, prepoznavanje opasnosti i štetnosti, pregled i razmatranje akta o proceni rizika, vođenje evidencije o uočenim nedostacima i predlozima, kao i vežbu pripreme obraćanja poslodavcu i po potrebi nadležnoj inspekciji rada.</w:t>
      </w:r>
    </w:p>
    <w:p/>
    <w:p>
      <w:pPr>
        <w:keepNext/>
      </w:pPr>
      <w:r>
        <w:rPr>
          <w:b/>
          <w:i w:val="0"/>
          <w:sz w:val="24"/>
        </w:rPr>
        <w:t>Trajanje i način sprovođenja</w:t>
      </w:r>
    </w:p>
    <w:p>
      <w:pPr>
        <w:jc w:val="both"/>
      </w:pPr>
      <w:r>
        <w:rPr>
          <w:b w:val="0"/>
          <w:i w:val="0"/>
          <w:sz w:val="22"/>
        </w:rPr>
        <w:t>Obuku sprovodi savetnik, odnosno saradnik za bezbednost i zdravlje na radu, po potrebi uz stručnu podršku. Okvirno trajanje je do jednog radnog dana, a prilagođava se obimu ovlašćenja predstavnika. Obuka se organizuje u toku radnog vremena, u okviru ili izvan prostora poslodavca, a troškovi obuke ne mogu biti na teret predstavnika zaposlenih.</w:t>
      </w:r>
    </w:p>
    <w:p/>
    <w:p>
      <w:pPr>
        <w:keepNext/>
      </w:pPr>
      <w:r>
        <w:rPr>
          <w:b/>
          <w:i w:val="0"/>
          <w:sz w:val="24"/>
        </w:rPr>
        <w:t>Način provere obučenosti</w:t>
      </w:r>
    </w:p>
    <w:p>
      <w:pPr>
        <w:jc w:val="both"/>
      </w:pPr>
      <w:r>
        <w:rPr>
          <w:b w:val="0"/>
          <w:i w:val="0"/>
          <w:sz w:val="22"/>
        </w:rPr>
        <w:t>Provera obučenosti sprovodi se kroz teorijsku i praktičnu proveru.</w:t>
      </w:r>
    </w:p>
    <w:p>
      <w:pPr>
        <w:jc w:val="both"/>
      </w:pPr>
      <w:r>
        <w:rPr>
          <w:b w:val="0"/>
          <w:i w:val="0"/>
          <w:sz w:val="22"/>
        </w:rPr>
        <w:t>Teorijska provera obavlja se pisanim testom ili usmenim ispitivanjem i smatra se uspešnom ako je tačno odgovoreno na najmanje 60 odsto pitanja.</w:t>
      </w:r>
    </w:p>
    <w:p>
      <w:pPr>
        <w:jc w:val="both"/>
      </w:pPr>
      <w:r>
        <w:rPr>
          <w:b w:val="0"/>
          <w:i w:val="0"/>
          <w:sz w:val="22"/>
        </w:rPr>
        <w:t>Praktična provera obavlja se kroz prikaz primene stečenih znanja u radnoj sredini i ocenjuje se ocenom zadovoljava ili ne zadovoljava.</w:t>
      </w:r>
    </w:p>
    <w:p>
      <w:pPr>
        <w:jc w:val="both"/>
      </w:pPr>
      <w:r>
        <w:rPr>
          <w:b w:val="0"/>
          <w:i w:val="0"/>
          <w:sz w:val="22"/>
        </w:rPr>
        <w:t>Prag prolaznosti je uspešno položena teorijska provera (najmanje 60 odsto) i ocena zadovoljava na praktičnoj proveri. Lice koje ne zadovolji upućuje se na ponovnu obuku i ponovnu proveru.</w:t>
      </w:r>
    </w:p>
    <w:p/>
    <w:p>
      <w:pPr>
        <w:keepNext/>
      </w:pPr>
      <w:r>
        <w:rPr>
          <w:b/>
          <w:i w:val="0"/>
          <w:sz w:val="24"/>
        </w:rPr>
        <w:t>Periodičnost (obnavljanje)</w:t>
      </w:r>
    </w:p>
    <w:p>
      <w:pPr>
        <w:jc w:val="both"/>
      </w:pPr>
      <w:r>
        <w:rPr>
          <w:b w:val="0"/>
          <w:i w:val="0"/>
          <w:sz w:val="22"/>
        </w:rPr>
        <w:t>Obuka predstavnika zaposlenih obavlja se odmah po izboru ili imenovanju, a periodična obuka vrši se najkasnije u roku od tri godine od dana prethodne obuke (član 35. stav 2. Zakona), kao i kod promene propisa, izmene akta o proceni rizika i kod bitnih promena u procesu rada koje utiču na bezbednost i zdravlje zaposlenih.</w:t>
      </w:r>
    </w:p>
    <w:p/>
    <w:p>
      <w:pPr>
        <w:keepNext/>
      </w:pPr>
      <w:r>
        <w:rPr>
          <w:b/>
          <w:i w:val="0"/>
          <w:sz w:val="24"/>
        </w:rPr>
        <w:t>Evidencija</w:t>
      </w:r>
    </w:p>
    <w:p>
      <w:pPr>
        <w:jc w:val="both"/>
      </w:pPr>
      <w:r>
        <w:rPr>
          <w:b w:val="0"/>
          <w:i w:val="0"/>
          <w:sz w:val="22"/>
        </w:rPr>
        <w:t>O sprovedenoj obuci i izvršenim proverama poslodavac vodi propisanu evidenciju (član 62. Zakona).</w:t>
      </w:r>
    </w:p>
    <w:p>
      <w:r>
        <w:rPr>
          <w:b w:val="0"/>
          <w:i w:val="0"/>
          <w:sz w:val="22"/>
        </w:rPr>
        <w:t>Evidencija naročito sadrži:</w:t>
      </w:r>
    </w:p>
    <w:p>
      <w:pPr>
        <w:pStyle w:val="ListBullet"/>
      </w:pPr>
      <w:r>
        <w:t>ime i prezime lica koje je obučavano</w:t>
      </w:r>
    </w:p>
    <w:p>
      <w:pPr>
        <w:pStyle w:val="ListBullet"/>
      </w:pPr>
      <w:r>
        <w:t>radno mesto i poslove na kojima lice radi</w:t>
      </w:r>
    </w:p>
    <w:p>
      <w:pPr>
        <w:pStyle w:val="ListBullet"/>
      </w:pPr>
      <w:r>
        <w:t>datum i sadržaj sprovedene obuke</w:t>
      </w:r>
    </w:p>
    <w:p>
      <w:pPr>
        <w:pStyle w:val="ListBullet"/>
      </w:pPr>
      <w:r>
        <w:t>podatke o licu koje je sprovelo obuku</w:t>
      </w:r>
    </w:p>
    <w:p>
      <w:pPr>
        <w:pStyle w:val="ListBullet"/>
      </w:pPr>
      <w:r>
        <w:t>rezultate teorijske i praktične provere</w:t>
      </w:r>
    </w:p>
    <w:p>
      <w:pPr>
        <w:pStyle w:val="ListBullet"/>
      </w:pPr>
      <w:r>
        <w:t>potpise učesnika i datum naredne provere</w:t>
      </w:r>
    </w:p>
    <w:p>
      <w:pPr>
        <w:jc w:val="both"/>
      </w:pPr>
      <w:r>
        <w:rPr>
          <w:b w:val="0"/>
          <w:i w:val="0"/>
          <w:sz w:val="22"/>
        </w:rPr>
        <w:t>Evidencija o zaposlenima obučenim za bezbedan i zdrav rad vodi se u pisanoj formi, drži se u sedištu ili drugoj poslovnoj prostoriji poslodavca, odnosno na mestu gde zaposleni radi, i dostupna je nadležnoj inspekciji rada na uvid.</w:t>
      </w:r>
    </w:p>
    <w:p/>
    <w:p>
      <w:pPr>
        <w:keepNext/>
      </w:pPr>
      <w:r>
        <w:rPr>
          <w:b w:val="0"/>
          <w:i w:val="0"/>
          <w:sz w:val="22"/>
        </w:rPr>
        <w:t>Broj: ____________________</w:t>
      </w:r>
    </w:p>
    <w:p>
      <w:pPr>
        <w:keepNext/>
      </w:pPr>
      <w:r>
        <w:rPr>
          <w:b w:val="0"/>
          <w:i w:val="0"/>
          <w:sz w:val="22"/>
        </w:rPr>
        <w:t>U ____________________, dana {{ today }}</w:t>
      </w:r>
    </w:p>
    <w:p>
      <w:pPr>
        <w:keepNext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cantSplit w:val="true"/>
        </w:trPr>
        <w:tc>
          <w:tcPr>
            <w:tcW w:type="dxa" w:w="4819"/>
          </w:tcPr>
          <w:p>
            <w:pPr>
              <w:jc w:val="center"/>
            </w:pPr>
            <w:r>
              <w:t>_____________________________</w:t>
              <w:br/>
              <w:t>Savetnik/saradnik za bezbednost i zdravlje na radu</w:t>
            </w:r>
          </w:p>
        </w:tc>
        <w:tc>
          <w:tcPr>
            <w:tcW w:type="dxa" w:w="4819"/>
          </w:tcPr>
          <w:p>
            <w:pPr>
              <w:jc w:val="center"/>
            </w:pPr>
            <w:r>
              <w:t>_____________________________</w:t>
              <w:br/>
              <w:t>Direktor</w:t>
              <w:br/>
              <w:t>{{ client.director }}</w:t>
            </w:r>
          </w:p>
        </w:tc>
      </w:tr>
    </w:tbl>
    <w:sectPr w:rsidR="00FC693F" w:rsidRPr="0006063C" w:rsidSect="00034616">
      <w:footerReference w:type="default" r:id="rId9"/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tabs>
        <w:tab w:pos="9638" w:val="right"/>
      </w:tabs>
    </w:pPr>
    <w:r/>
    <w:r>
      <w:rPr>
        <w:b w:val="0"/>
        <w:i w:val="0"/>
        <w:color w:val="595959"/>
        <w:sz w:val="16"/>
      </w:rPr>
      <w:t>{{ client.name }} - Program obuke za bezbedan i zdrav rad</w:t>
    </w:r>
    <w:r>
      <w:rPr>
        <w:b w:val="0"/>
        <w:i w:val="0"/>
        <w:color w:val="595959"/>
        <w:sz w:val="16"/>
      </w:rPr>
      <w:tab/>
      <w:t xml:space="preserve">Strana </w:t>
    </w:r>
    <w:r>
      <w:rPr>
        <w:b w:val="0"/>
        <w:i w:val="0"/>
        <w:color w:val="595959"/>
        <w:sz w:val="16"/>
      </w:rPr>
      <w:fldChar w:fldCharType="begin"/>
    </w:r>
    <w:r>
      <w:rPr>
        <w:b w:val="0"/>
        <w:i w:val="0"/>
        <w:color w:val="595959"/>
        <w:sz w:val="16"/>
      </w:rPr>
      <w:instrText xml:space="preserve"> PAGE </w:instrText>
    </w:r>
    <w:r>
      <w:rPr>
        <w:b w:val="0"/>
        <w:i w:val="0"/>
        <w:color w:val="595959"/>
        <w:sz w:val="16"/>
      </w:rPr>
      <w:fldChar w:fldCharType="separate"/>
    </w:r>
    <w:r>
      <w:rPr>
        <w:b w:val="0"/>
        <w:i w:val="0"/>
        <w:color w:val="595959"/>
        <w:sz w:val="16"/>
      </w:rPr>
      <w:t>1</w:t>
    </w:r>
    <w:r>
      <w:rPr>
        <w:b w:val="0"/>
        <w:i w:val="0"/>
        <w:color w:val="595959"/>
        <w:sz w:val="16"/>
      </w:rPr>
      <w:fldChar w:fldCharType="end"/>
    </w:r>
    <w:r>
      <w:rPr>
        <w:b w:val="0"/>
        <w:i w:val="0"/>
        <w:color w:val="595959"/>
        <w:sz w:val="16"/>
      </w:rPr>
      <w:t xml:space="preserve"> od </w:t>
    </w:r>
    <w:r>
      <w:rPr>
        <w:b w:val="0"/>
        <w:i w:val="0"/>
        <w:color w:val="595959"/>
        <w:sz w:val="16"/>
      </w:rPr>
      <w:fldChar w:fldCharType="begin"/>
    </w:r>
    <w:r>
      <w:rPr>
        <w:b w:val="0"/>
        <w:i w:val="0"/>
        <w:color w:val="595959"/>
        <w:sz w:val="16"/>
      </w:rPr>
      <w:instrText xml:space="preserve"> NUMPAGES </w:instrText>
    </w:r>
    <w:r>
      <w:rPr>
        <w:b w:val="0"/>
        <w:i w:val="0"/>
        <w:color w:val="595959"/>
        <w:sz w:val="16"/>
      </w:rPr>
      <w:fldChar w:fldCharType="separate"/>
    </w:r>
    <w:r>
      <w:rPr>
        <w:b w:val="0"/>
        <w:i w:val="0"/>
        <w:color w:val="595959"/>
        <w:sz w:val="16"/>
      </w:rPr>
      <w:t>1</w:t>
    </w:r>
    <w:r>
      <w:rPr>
        <w:b w:val="0"/>
        <w:i w:val="0"/>
        <w:color w:val="595959"/>
        <w:sz w:val="16"/>
      </w:rPr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cs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