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  <w:i w:val="0"/>
                <w:sz w:val="20"/>
              </w:rPr>
              <w:t>{{ client.name }}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20"/>
              </w:rPr>
              <w:t>{{ client.address }}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20"/>
              </w:rPr>
              <w:t>{{ client.tax_id }}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Poslovno ime poslodavca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Adresa sedišta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PIB</w:t>
            </w:r>
          </w:p>
        </w:tc>
      </w:tr>
    </w:tbl>
    <w:p/>
    <w:p>
      <w:pPr>
        <w:jc w:val="center"/>
      </w:pPr>
      <w:r>
        <w:rPr>
          <w:b/>
          <w:i w:val="0"/>
          <w:sz w:val="28"/>
        </w:rPr>
        <w:t>PROGRAM OBUKE ZA BEZBEDAN I ZDRAV RAD</w:t>
      </w:r>
    </w:p>
    <w:p>
      <w:pPr>
        <w:jc w:val="center"/>
      </w:pPr>
      <w:r>
        <w:rPr>
          <w:b w:val="0"/>
          <w:i w:val="0"/>
          <w:sz w:val="22"/>
        </w:rPr>
        <w:t>za rukovodioce</w:t>
      </w:r>
    </w:p>
    <w:p>
      <w:pPr>
        <w:jc w:val="both"/>
      </w:pPr>
      <w:r>
        <w:rPr>
          <w:b w:val="0"/>
          <w:i w:val="0"/>
          <w:sz w:val="22"/>
        </w:rPr>
        <w:t>Ovaj program obuke za bezbedan i zdrav rad donosi se u skladu sa članom 46. stav 2. i članom 50. Zakona o bezbednosti i zdravlju na radu ("Sl. glasnik RS", br. 35/2023), kao i sa pratećim podzakonskim aktima, u privrednom društvu {{ client.name }} (u daljem tekstu: poslodavac).</w:t>
      </w:r>
    </w:p>
    <w:p>
      <w:pPr>
        <w:jc w:val="both"/>
      </w:pPr>
      <w:r>
        <w:rPr>
          <w:b w:val="0"/>
          <w:i w:val="0"/>
          <w:sz w:val="22"/>
        </w:rPr>
        <w:t>Program utvrđuje sadržaj, obim, način i trajanje obuke za rukovodioce koji organizuju i vode procese rada, upravljaju zaposlenima i svakodnevno prate i kontrolišu primenu mera bezbednosti i zdravlja na radu.</w:t>
      </w:r>
    </w:p>
    <w:p/>
    <w:p>
      <w:pPr>
        <w:keepNext/>
      </w:pPr>
      <w:r>
        <w:rPr>
          <w:b/>
          <w:i w:val="0"/>
          <w:sz w:val="24"/>
        </w:rPr>
        <w:t>Cilj obuke</w:t>
      </w:r>
    </w:p>
    <w:p>
      <w:pPr>
        <w:jc w:val="both"/>
      </w:pPr>
      <w:r>
        <w:rPr>
          <w:b w:val="0"/>
          <w:i w:val="0"/>
          <w:sz w:val="22"/>
        </w:rPr>
        <w:t>Cilj obuke je da rukovodioci steknu znanja potrebna za organizovanje bezbednog i zdravog rada u okviru svojih nadležnosti, da razumeju svoje odgovornosti, da obezbeđuju i svakodnevno prate i kontrolišu primenu mera zaštite i da doprinose stalnom unapređivanju uslova rada.</w:t>
      </w:r>
    </w:p>
    <w:p/>
    <w:p>
      <w:pPr>
        <w:keepNext/>
      </w:pPr>
      <w:r>
        <w:rPr>
          <w:b/>
          <w:i w:val="0"/>
          <w:sz w:val="24"/>
        </w:rPr>
        <w:t>Teorijski deo</w:t>
      </w:r>
    </w:p>
    <w:p>
      <w:r>
        <w:rPr>
          <w:b w:val="0"/>
          <w:i w:val="0"/>
          <w:sz w:val="22"/>
        </w:rPr>
        <w:t>Teorijski deo obuke obuhvata sledeće teme:</w:t>
      </w:r>
    </w:p>
    <w:p>
      <w:pPr>
        <w:pStyle w:val="ListBullet"/>
      </w:pPr>
      <w:r>
        <w:t>organizovanje bezbednosti i zdravlja na radu u radnoj sredini</w:t>
      </w:r>
    </w:p>
    <w:p>
      <w:pPr>
        <w:pStyle w:val="ListBullet"/>
      </w:pPr>
      <w:r>
        <w:t>odgovornosti i obaveze rukovodilaca u oblasti bezbednosti i zdravlja na radu</w:t>
      </w:r>
    </w:p>
    <w:p>
      <w:pPr>
        <w:pStyle w:val="ListBullet"/>
      </w:pPr>
      <w:r>
        <w:t>akt o proceni rizika i primena mera utvrđenih tim aktom</w:t>
      </w:r>
    </w:p>
    <w:p>
      <w:pPr>
        <w:pStyle w:val="ListBullet"/>
      </w:pPr>
      <w:r>
        <w:t>planiranje i sprovođenje mera za bezbedan i zdrav rad</w:t>
      </w:r>
    </w:p>
    <w:p>
      <w:pPr>
        <w:pStyle w:val="ListBullet"/>
      </w:pPr>
      <w:r>
        <w:t>svakodnevno praćenje i kontrola primene mera i pravila bezbednog rada zaposlenih</w:t>
      </w:r>
    </w:p>
    <w:p>
      <w:pPr>
        <w:pStyle w:val="ListBullet"/>
      </w:pPr>
      <w:r>
        <w:t>postupanje i prijava povreda na radu i opasnih pojava</w:t>
      </w:r>
    </w:p>
    <w:p>
      <w:pPr>
        <w:pStyle w:val="ListBullet"/>
      </w:pPr>
      <w:r>
        <w:t>saradnja sa savetnikom, odnosno saradnikom za bezbednost i zdravlje na radu i sa službom medicine rada</w:t>
      </w:r>
    </w:p>
    <w:p>
      <w:pPr>
        <w:pStyle w:val="ListBullet"/>
      </w:pPr>
      <w:r>
        <w:t>obaveze prema predstavnicima zaposlenih i prema inspekciji rada</w:t>
      </w:r>
    </w:p>
    <w:p/>
    <w:p>
      <w:pPr>
        <w:keepNext/>
      </w:pPr>
      <w:r>
        <w:rPr>
          <w:b/>
          <w:i w:val="0"/>
          <w:sz w:val="24"/>
        </w:rPr>
        <w:t>Praktični deo</w:t>
      </w:r>
    </w:p>
    <w:p>
      <w:pPr>
        <w:jc w:val="both"/>
      </w:pPr>
      <w:r>
        <w:rPr>
          <w:b w:val="0"/>
          <w:i w:val="0"/>
          <w:sz w:val="22"/>
        </w:rPr>
        <w:t>Praktični deo obuhvata primenu stečenih znanja u radnoj sredini rukovodioca: prepoznavanje opasnosti i štetnosti u okviru organizacione celine, kontrolu primene mera i upotrebe lične zaštitne opreme, vođenje potrebne dokumentacije i postupanje u slučaju povrede na radu ili opasne pojave.</w:t>
      </w:r>
    </w:p>
    <w:p/>
    <w:p>
      <w:pPr>
        <w:keepNext/>
      </w:pPr>
      <w:r>
        <w:rPr>
          <w:b/>
          <w:i w:val="0"/>
          <w:sz w:val="24"/>
        </w:rPr>
        <w:t>Trajanje i način sprovođenja</w:t>
      </w:r>
    </w:p>
    <w:p>
      <w:pPr>
        <w:jc w:val="both"/>
      </w:pPr>
      <w:r>
        <w:rPr>
          <w:b w:val="0"/>
          <w:i w:val="0"/>
          <w:sz w:val="22"/>
        </w:rPr>
        <w:t>Obuku organizuje i sprovodi savetnik, odnosno saradnik za bezbednost i zdravlje na radu, po potrebi uz učešće stručnjaka odgovarajuće struke. Okvirno trajanje je do jednog radnog dana, a prilagođava se obimu nadležnosti rukovodioca i nivou rizika procesa kojima rukovodi. Sprovodi se u toku radnog vremena i o trošku poslodavca.</w:t>
      </w:r>
    </w:p>
    <w:p/>
    <w:p>
      <w:pPr>
        <w:keepNext/>
      </w:pPr>
      <w:r>
        <w:rPr>
          <w:b/>
          <w:i w:val="0"/>
          <w:sz w:val="24"/>
        </w:rPr>
        <w:t>Način provere obučenosti</w:t>
      </w:r>
    </w:p>
    <w:p>
      <w:pPr>
        <w:jc w:val="both"/>
      </w:pPr>
      <w:r>
        <w:rPr>
          <w:b w:val="0"/>
          <w:i w:val="0"/>
          <w:sz w:val="22"/>
        </w:rPr>
        <w:t>Provera obučenosti sprovodi se kroz teorijsku i praktičnu proveru.</w:t>
      </w:r>
    </w:p>
    <w:p>
      <w:pPr>
        <w:jc w:val="both"/>
      </w:pPr>
      <w:r>
        <w:rPr>
          <w:b w:val="0"/>
          <w:i w:val="0"/>
          <w:sz w:val="22"/>
        </w:rPr>
        <w:t>Teorijska provera obavlja se pisanim testom ili usmenim ispitivanjem i smatra se uspešnom ako je tačno odgovoreno na najmanje 60 odsto pitanja.</w:t>
      </w:r>
    </w:p>
    <w:p>
      <w:pPr>
        <w:jc w:val="both"/>
      </w:pPr>
      <w:r>
        <w:rPr>
          <w:b w:val="0"/>
          <w:i w:val="0"/>
          <w:sz w:val="22"/>
        </w:rPr>
        <w:t>Praktična provera obavlja se kroz prikaz primene stečenih znanja u radnoj sredini i ocenjuje se ocenom zadovoljava ili ne zadovoljava.</w:t>
      </w:r>
    </w:p>
    <w:p>
      <w:pPr>
        <w:jc w:val="both"/>
      </w:pPr>
      <w:r>
        <w:rPr>
          <w:b w:val="0"/>
          <w:i w:val="0"/>
          <w:sz w:val="22"/>
        </w:rPr>
        <w:t>Prag prolaznosti je uspešno položena teorijska provera (najmanje 60 odsto) i ocena zadovoljava na praktičnoj proveri. Lice koje ne zadovolji upućuje se na ponovnu obuku i ponovnu proveru.</w:t>
      </w:r>
    </w:p>
    <w:p/>
    <w:p>
      <w:pPr>
        <w:keepNext/>
      </w:pPr>
      <w:r>
        <w:rPr>
          <w:b/>
          <w:i w:val="0"/>
          <w:sz w:val="24"/>
        </w:rPr>
        <w:t>Periodičnost (obnavljanje)</w:t>
      </w:r>
    </w:p>
    <w:p>
      <w:pPr>
        <w:jc w:val="both"/>
      </w:pPr>
      <w:r>
        <w:rPr>
          <w:b w:val="0"/>
          <w:i w:val="0"/>
          <w:sz w:val="22"/>
        </w:rPr>
        <w:t>Zakonom nije propisan rok za obnavljanje obuke rukovodilaca. Poslodavac utvrđuje da se obnavljanje obuke sprovodi najmanje jednom u tri godine, a obavezno kod promene propisa, izmene akta o proceni rizika, uvođenja novih procesa ili tehnologija, kao i posle nastanka povrede na radu u organizacionoj celini kojom rukovodilac upravlja.</w:t>
      </w:r>
    </w:p>
    <w:p/>
    <w:p>
      <w:pPr>
        <w:keepNext/>
      </w:pPr>
      <w:r>
        <w:rPr>
          <w:b/>
          <w:i w:val="0"/>
          <w:sz w:val="24"/>
        </w:rPr>
        <w:t>Evidencija</w:t>
      </w:r>
    </w:p>
    <w:p>
      <w:pPr>
        <w:jc w:val="both"/>
      </w:pPr>
      <w:r>
        <w:rPr>
          <w:b w:val="0"/>
          <w:i w:val="0"/>
          <w:sz w:val="22"/>
        </w:rPr>
        <w:t>O sprovedenoj obuci i izvršenim proverama poslodavac vodi propisanu evidenciju (član 62. Zakona).</w:t>
      </w:r>
    </w:p>
    <w:p>
      <w:r>
        <w:rPr>
          <w:b w:val="0"/>
          <w:i w:val="0"/>
          <w:sz w:val="22"/>
        </w:rPr>
        <w:t>Evidencija naročito sadrži:</w:t>
      </w:r>
    </w:p>
    <w:p>
      <w:pPr>
        <w:pStyle w:val="ListBullet"/>
      </w:pPr>
      <w:r>
        <w:t>ime i prezime lica koje je obučavano</w:t>
      </w:r>
    </w:p>
    <w:p>
      <w:pPr>
        <w:pStyle w:val="ListBullet"/>
      </w:pPr>
      <w:r>
        <w:t>radno mesto i poslove na kojima lice radi</w:t>
      </w:r>
    </w:p>
    <w:p>
      <w:pPr>
        <w:pStyle w:val="ListBullet"/>
      </w:pPr>
      <w:r>
        <w:t>datum i sadržaj sprovedene obuke</w:t>
      </w:r>
    </w:p>
    <w:p>
      <w:pPr>
        <w:pStyle w:val="ListBullet"/>
      </w:pPr>
      <w:r>
        <w:t>podatke o licu koje je sprovelo obuku</w:t>
      </w:r>
    </w:p>
    <w:p>
      <w:pPr>
        <w:pStyle w:val="ListBullet"/>
      </w:pPr>
      <w:r>
        <w:t>rezultate teorijske i praktične provere</w:t>
      </w:r>
    </w:p>
    <w:p>
      <w:pPr>
        <w:pStyle w:val="ListBullet"/>
      </w:pPr>
      <w:r>
        <w:t>potpise učesnika i datum naredne provere</w:t>
      </w:r>
    </w:p>
    <w:p>
      <w:pPr>
        <w:jc w:val="both"/>
      </w:pPr>
      <w:r>
        <w:rPr>
          <w:b w:val="0"/>
          <w:i w:val="0"/>
          <w:sz w:val="22"/>
        </w:rPr>
        <w:t>Evidencija o zaposlenima obučenim za bezbedan i zdrav rad vodi se u pisanoj formi, drži se u sedištu ili drugoj poslovnoj prostoriji poslodavca, odnosno na mestu gde zaposleni radi, i dostupna je nadležnoj inspekciji rada na uvid.</w:t>
      </w:r>
    </w:p>
    <w:p/>
    <w:p>
      <w:pPr>
        <w:keepNext/>
      </w:pPr>
      <w:r>
        <w:rPr>
          <w:b w:val="0"/>
          <w:i w:val="0"/>
          <w:sz w:val="22"/>
        </w:rPr>
        <w:t>Broj: ____________________</w:t>
      </w:r>
    </w:p>
    <w:p>
      <w:pPr>
        <w:keepNext/>
      </w:pPr>
      <w:r>
        <w:rPr>
          <w:b w:val="0"/>
          <w:i w:val="0"/>
          <w:sz w:val="22"/>
        </w:rPr>
        <w:t>U ____________________, dana {{ today }}</w:t>
      </w:r>
    </w:p>
    <w:p>
      <w:pPr>
        <w:keepNext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4819"/>
          </w:tcPr>
          <w:p>
            <w:pPr>
              <w:jc w:val="center"/>
            </w:pPr>
            <w:r>
              <w:t>_____________________________</w:t>
              <w:br/>
              <w:t>Savetnik/saradnik za bezbednost i zdravlje na radu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t>_____________________________</w:t>
              <w:br/>
              <w:t>Direktor</w:t>
              <w:br/>
              <w:t>{{ client.director 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/>
    <w:r>
      <w:rPr>
        <w:b w:val="0"/>
        <w:i w:val="0"/>
        <w:color w:val="595959"/>
        <w:sz w:val="16"/>
      </w:rPr>
      <w:t>{{ client.name }} - Program obuke za bezbedan i zdrav rad</w:t>
    </w:r>
    <w:r>
      <w:rPr>
        <w:b w:val="0"/>
        <w:i w:val="0"/>
        <w:color w:val="595959"/>
        <w:sz w:val="16"/>
      </w:rPr>
      <w:tab/>
      <w:t xml:space="preserve">Strana </w:t>
    </w:r>
    <w:r>
      <w:rPr>
        <w:b w:val="0"/>
        <w:i w:val="0"/>
        <w:color w:val="595959"/>
        <w:sz w:val="16"/>
      </w:rPr>
      <w:fldChar w:fldCharType="begin"/>
    </w:r>
    <w:r>
      <w:rPr>
        <w:b w:val="0"/>
        <w:i w:val="0"/>
        <w:color w:val="595959"/>
        <w:sz w:val="16"/>
      </w:rPr>
      <w:instrText xml:space="preserve"> PAGE </w:instrText>
    </w:r>
    <w:r>
      <w:rPr>
        <w:b w:val="0"/>
        <w:i w:val="0"/>
        <w:color w:val="595959"/>
        <w:sz w:val="16"/>
      </w:rPr>
      <w:fldChar w:fldCharType="separate"/>
    </w:r>
    <w:r>
      <w:rPr>
        <w:b w:val="0"/>
        <w:i w:val="0"/>
        <w:color w:val="595959"/>
        <w:sz w:val="16"/>
      </w:rPr>
      <w:t>1</w:t>
    </w:r>
    <w:r>
      <w:rPr>
        <w:b w:val="0"/>
        <w:i w:val="0"/>
        <w:color w:val="595959"/>
        <w:sz w:val="16"/>
      </w:rPr>
      <w:fldChar w:fldCharType="end"/>
    </w:r>
    <w:r>
      <w:rPr>
        <w:b w:val="0"/>
        <w:i w:val="0"/>
        <w:color w:val="595959"/>
        <w:sz w:val="16"/>
      </w:rPr>
      <w:t xml:space="preserve"> od </w:t>
    </w:r>
    <w:r>
      <w:rPr>
        <w:b w:val="0"/>
        <w:i w:val="0"/>
        <w:color w:val="595959"/>
        <w:sz w:val="16"/>
      </w:rPr>
      <w:fldChar w:fldCharType="begin"/>
    </w:r>
    <w:r>
      <w:rPr>
        <w:b w:val="0"/>
        <w:i w:val="0"/>
        <w:color w:val="595959"/>
        <w:sz w:val="16"/>
      </w:rPr>
      <w:instrText xml:space="preserve"> NUMPAGES </w:instrText>
    </w:r>
    <w:r>
      <w:rPr>
        <w:b w:val="0"/>
        <w:i w:val="0"/>
        <w:color w:val="595959"/>
        <w:sz w:val="16"/>
      </w:rPr>
      <w:fldChar w:fldCharType="separate"/>
    </w:r>
    <w:r>
      <w:rPr>
        <w:b w:val="0"/>
        <w:i w:val="0"/>
        <w:color w:val="595959"/>
        <w:sz w:val="16"/>
      </w:rPr>
      <w:t>1</w:t>
    </w:r>
    <w:r>
      <w:rPr>
        <w:b w:val="0"/>
        <w:i w:val="0"/>
        <w:color w:val="595959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