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b/>
                <w:i w:val="0"/>
                <w:sz w:val="20"/>
              </w:rPr>
              <w:t>{{ client.name }}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20"/>
              </w:rPr>
              <w:t>{{ client.address }}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20"/>
              </w:rPr>
              <w:t>{{ client.tax_id }}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i w:val="0"/>
                <w:sz w:val="16"/>
              </w:rPr>
              <w:t>Poslovno ime poslodavca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6"/>
              </w:rPr>
              <w:t>Adresa sedišta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6"/>
              </w:rPr>
              <w:t>PIB</w:t>
            </w:r>
          </w:p>
        </w:tc>
      </w:tr>
    </w:tbl>
    <w:p/>
    <w:p>
      <w:pPr>
        <w:jc w:val="center"/>
      </w:pPr>
      <w:r>
        <w:rPr>
          <w:b/>
          <w:i w:val="0"/>
          <w:sz w:val="28"/>
        </w:rPr>
        <w:t>PROGRAM OBUKE ZA BEZBEDAN I ZDRAV RAD</w:t>
      </w:r>
    </w:p>
    <w:p>
      <w:pPr>
        <w:jc w:val="center"/>
      </w:pPr>
      <w:r>
        <w:rPr>
          <w:b w:val="0"/>
          <w:i w:val="0"/>
          <w:sz w:val="22"/>
        </w:rPr>
        <w:t>za zaposlene</w:t>
      </w:r>
    </w:p>
    <w:p>
      <w:pPr>
        <w:jc w:val="both"/>
      </w:pPr>
      <w:r>
        <w:rPr>
          <w:b w:val="0"/>
          <w:i w:val="0"/>
          <w:sz w:val="22"/>
        </w:rPr>
        <w:t>Ovaj program obuke za bezbedan i zdrav rad donosi se u skladu sa članom 33. i 34. Zakona o bezbednosti i zdravlju na radu ("Sl. glasnik RS", br. 35/2023), kao i sa pratećim podzakonskim aktima, u privrednom društvu {{ client.name }} (u daljem tekstu: poslodavac).</w:t>
      </w:r>
    </w:p>
    <w:p>
      <w:pPr>
        <w:jc w:val="both"/>
      </w:pPr>
      <w:r>
        <w:rPr>
          <w:b w:val="0"/>
          <w:i w:val="0"/>
          <w:sz w:val="22"/>
        </w:rPr>
        <w:t>Program utvrđuje sadržaj, obim, način i trajanje obuke za sve zaposlene koji obavljaju poslove kod poslodavca.</w:t>
      </w:r>
    </w:p>
    <w:p/>
    <w:p>
      <w:pPr>
        <w:jc w:val="both"/>
      </w:pPr>
      <w:r>
        <w:rPr>
          <w:b w:val="0"/>
          <w:i w:val="0"/>
          <w:sz w:val="22"/>
        </w:rPr>
        <w:t>Poslodavac je dužan da izvrši obuku zaposlenog za bezbedan i zdrav rad kod zasnivanja radnog odnosa, odnosno drugog radnog angažovanja, premeštaja na druge poslove, prilikom uvođenja nove tehnologije ili novih sredstava za rad ili promene opreme za rad, kao i kod promene radnog procesa. Zaposleni koji obavlja poslove na dva ili više radnih mesta obučava se za svako od tih radnih mesta, a obuku se obuhvataju i zaposleni drugog poslodavca koji rade pod nadzorom i rukovođenjem poslodavca.</w:t>
      </w:r>
    </w:p>
    <w:p/>
    <w:p>
      <w:pPr>
        <w:keepNext/>
      </w:pPr>
      <w:r>
        <w:rPr>
          <w:b/>
          <w:i w:val="0"/>
          <w:sz w:val="24"/>
        </w:rPr>
        <w:t>Cilj obuke</w:t>
      </w:r>
    </w:p>
    <w:p>
      <w:pPr>
        <w:jc w:val="both"/>
      </w:pPr>
      <w:r>
        <w:rPr>
          <w:b w:val="0"/>
          <w:i w:val="0"/>
          <w:sz w:val="22"/>
        </w:rPr>
        <w:t>Cilj obuke je da zaposleni steknu potrebna znanja i veštine za bezbedno i zdravo obavljanje poslova, da prepoznaju opasnosti i štetnosti na svom radnom mestu i da pravilno primenjuju mere zaštite radi sprečavanja povreda na radu, profesionalnih bolesti i bolesti u vezi sa radom.</w:t>
      </w:r>
    </w:p>
    <w:p/>
    <w:p>
      <w:pPr>
        <w:keepNext/>
      </w:pPr>
      <w:r>
        <w:rPr>
          <w:b/>
          <w:i w:val="0"/>
          <w:sz w:val="24"/>
        </w:rPr>
        <w:t>Opšti deo programa obuke</w:t>
      </w:r>
    </w:p>
    <w:p>
      <w:pPr>
        <w:jc w:val="both"/>
      </w:pPr>
      <w:r>
        <w:rPr>
          <w:b w:val="0"/>
          <w:i w:val="0"/>
          <w:sz w:val="22"/>
        </w:rPr>
        <w:t>Opšti deo programa obuke obuhvata upoznavanje zaposlenih sa pravima, obavezama i odgovornostima u oblasti bezbednosti i zdravlja na radu iz zakona i podzakonskih propisa, kao i upoznavanje sa opštim aktima poslodavca u oblasti bezbednosti i zdravlja na radu (član 34. stav 3. Zakona). Teorijski deo obuhvata sledeće teme:</w:t>
      </w:r>
    </w:p>
    <w:p>
      <w:pPr>
        <w:pStyle w:val="ListBullet"/>
      </w:pPr>
      <w:r>
        <w:t>pojam i značaj bezbednosti i zdravlja na radu</w:t>
      </w:r>
    </w:p>
    <w:p>
      <w:pPr>
        <w:pStyle w:val="ListBullet"/>
      </w:pPr>
      <w:r>
        <w:t>prava i obaveze zaposlenih i poslodavca u oblasti bezbednosti i zdravlja na radu</w:t>
      </w:r>
    </w:p>
    <w:p>
      <w:pPr>
        <w:pStyle w:val="ListBullet"/>
      </w:pPr>
      <w:r>
        <w:t>opšti akti poslodavca u oblasti bezbednosti i zdravlja na radu i akt o proceni rizika</w:t>
      </w:r>
    </w:p>
    <w:p>
      <w:pPr>
        <w:pStyle w:val="ListBullet"/>
      </w:pPr>
      <w:r>
        <w:t>opasnosti i štetnosti na radnom mestu i u radnoj sredini</w:t>
      </w:r>
    </w:p>
    <w:p>
      <w:pPr>
        <w:pStyle w:val="ListBullet"/>
      </w:pPr>
      <w:r>
        <w:t>mere zaštite i pravila bezbednog rada</w:t>
      </w:r>
    </w:p>
    <w:p>
      <w:pPr>
        <w:pStyle w:val="ListBullet"/>
      </w:pPr>
      <w:r>
        <w:t>bezbedno korišćenje opreme za rad i sredstava za rad</w:t>
      </w:r>
    </w:p>
    <w:p>
      <w:pPr>
        <w:pStyle w:val="ListBullet"/>
      </w:pPr>
      <w:r>
        <w:t>lična zaštitna oprema (LZO)</w:t>
      </w:r>
    </w:p>
    <w:p>
      <w:pPr>
        <w:pStyle w:val="ListBullet"/>
      </w:pPr>
      <w:r>
        <w:t>postupanje u slučaju povrede na radu i prijava povrede</w:t>
      </w:r>
    </w:p>
    <w:p>
      <w:pPr>
        <w:pStyle w:val="ListBullet"/>
      </w:pPr>
      <w:r>
        <w:t>pružanje prve pomoći</w:t>
      </w:r>
    </w:p>
    <w:p>
      <w:pPr>
        <w:pStyle w:val="ListBullet"/>
      </w:pPr>
      <w:r>
        <w:t>zaštita od požara i rukovanje sredstvima za gašenje požara</w:t>
      </w:r>
    </w:p>
    <w:p>
      <w:pPr>
        <w:pStyle w:val="ListBullet"/>
      </w:pPr>
      <w:r>
        <w:t>postupak evakuacije i ponašanje u vanrednim situacijama</w:t>
      </w:r>
    </w:p>
    <w:p/>
    <w:p>
      <w:pPr>
        <w:keepNext/>
      </w:pPr>
      <w:r>
        <w:rPr>
          <w:b/>
          <w:i w:val="0"/>
          <w:sz w:val="24"/>
        </w:rPr>
        <w:t>Posebni deo programa obuke</w:t>
      </w:r>
    </w:p>
    <w:p>
      <w:pPr>
        <w:jc w:val="both"/>
      </w:pPr>
      <w:r>
        <w:rPr>
          <w:b w:val="0"/>
          <w:i w:val="0"/>
          <w:sz w:val="22"/>
        </w:rPr>
        <w:t>Posebni deo programa obuke obuhvata upoznavanje zaposlenih sa svim potencijalnim opasnostima i štetnostima na radnom mestu, procenjenim rizicima i merama za bezbedan i zdrav rad (član 34. stav 4. Zakona), u skladu sa Aktom o proceni rizika broj {{ act.number }} od {{ act.date }} godine. Za svako radno mesto obuka obuhvata:</w:t>
      </w:r>
    </w:p>
    <w:p>
      <w:r>
        <w:t>{{#each roles as role}}</w:t>
      </w:r>
    </w:p>
    <w:p>
      <w:pPr>
        <w:keepNext/>
      </w:pPr>
      <w:r>
        <w:rPr>
          <w:b/>
          <w:i w:val="0"/>
          <w:sz w:val="22"/>
        </w:rPr>
        <w:t>Radno mesto {{ role.rbr }} {{ role.name }}</w:t>
      </w:r>
    </w:p>
    <w:p>
      <w:r>
        <w:rPr>
          <w:b/>
          <w:i w:val="0"/>
          <w:sz w:val="22"/>
        </w:rPr>
        <w:t xml:space="preserve">Opis poslova: </w:t>
      </w:r>
      <w:r>
        <w:rPr>
          <w:b w:val="0"/>
          <w:i w:val="0"/>
          <w:sz w:val="22"/>
        </w:rPr>
        <w:t>{{ role.description }}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3061"/>
        <w:gridCol w:w="2041"/>
        <w:gridCol w:w="3628"/>
      </w:tblGrid>
      <w:tr>
        <w:trPr>
          <w:tblHeader w:val="true"/>
        </w:trPr>
        <w:tc>
          <w:tcPr>
            <w:tcW w:type="dxa" w:w="90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Šifra</w:t>
            </w:r>
          </w:p>
        </w:tc>
        <w:tc>
          <w:tcPr>
            <w:tcW w:type="dxa" w:w="3061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Opasnost, odnosno štetnost</w:t>
            </w:r>
          </w:p>
        </w:tc>
        <w:tc>
          <w:tcPr>
            <w:tcW w:type="dxa" w:w="2041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Procenjeni rizik</w:t>
            </w:r>
          </w:p>
        </w:tc>
        <w:tc>
          <w:tcPr>
            <w:tcW w:type="dxa" w:w="36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Mere za bezbedan i zdrav rad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i w:val="0"/>
                <w:sz w:val="20"/>
              </w:rPr>
              <w:t>{{ role.hazards.code }}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i w:val="0"/>
                <w:sz w:val="20"/>
              </w:rPr>
              <w:t>{{ role.hazards.label }}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i w:val="0"/>
                <w:sz w:val="20"/>
              </w:rPr>
              <w:t>{{ role.hazards.category }}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i w:val="0"/>
                <w:sz w:val="20"/>
              </w:rPr>
              <w:t>{{ role.hazards.mere }}</w:t>
            </w:r>
          </w:p>
        </w:tc>
      </w:tr>
    </w:tbl>
    <w:p/>
    <w:p>
      <w:r>
        <w:rPr>
          <w:b/>
          <w:i w:val="0"/>
          <w:sz w:val="22"/>
        </w:rPr>
        <w:t xml:space="preserve">Opšte mere za radno mesto: </w:t>
      </w:r>
      <w:r>
        <w:rPr>
          <w:b w:val="0"/>
          <w:i w:val="0"/>
          <w:sz w:val="22"/>
        </w:rPr>
        <w:t>{{ role.measures }}</w:t>
      </w:r>
    </w:p>
    <w:p>
      <w:r>
        <w:rPr>
          <w:b/>
          <w:i w:val="0"/>
          <w:sz w:val="22"/>
        </w:rPr>
        <w:t>Lična zaštitna oprema i obuka za njeno pravilno korišćenje:</w:t>
      </w:r>
      <w:r>
        <w:rPr>
          <w:b w:val="0"/>
          <w:i w:val="0"/>
          <w:sz w:val="22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5329"/>
        <w:gridCol w:w="3402"/>
      </w:tblGrid>
      <w:tr>
        <w:trPr>
          <w:tblHeader w:val="true"/>
        </w:trPr>
        <w:tc>
          <w:tcPr>
            <w:tcW w:type="dxa" w:w="90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Red. br.</w:t>
            </w:r>
          </w:p>
        </w:tc>
        <w:tc>
          <w:tcPr>
            <w:tcW w:type="dxa" w:w="5329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Naziv lične zaštitne opreme</w:t>
            </w:r>
          </w:p>
        </w:tc>
        <w:tc>
          <w:tcPr>
            <w:tcW w:type="dxa" w:w="3402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Standard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i w:val="0"/>
                <w:sz w:val="20"/>
              </w:rPr>
              <w:t>{{ role.lzo.rbr }}</w:t>
            </w:r>
          </w:p>
        </w:tc>
        <w:tc>
          <w:tcPr>
            <w:tcW w:type="dxa" w:w="5329"/>
          </w:tcPr>
          <w:p>
            <w:r/>
            <w:r>
              <w:rPr>
                <w:b w:val="0"/>
                <w:i w:val="0"/>
                <w:sz w:val="20"/>
              </w:rPr>
              <w:t>{{ role.lzo.name }}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i w:val="0"/>
                <w:sz w:val="20"/>
              </w:rPr>
              <w:t>{{ role.lzo.standard }}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c>
          <w:tcPr>
            <w:tcW w:type="dxa" w:w="9638"/>
          </w:tcPr>
          <w:p>
            <w:r/>
            <w:r>
              <w:rPr>
                <w:b w:val="0"/>
                <w:i w:val="0"/>
                <w:sz w:val="22"/>
              </w:rPr>
              <w:t>{{#if not role.has_lzo}}</w:t>
            </w:r>
          </w:p>
          <w:p>
            <w:r>
              <w:rPr>
                <w:b w:val="0"/>
                <w:i w:val="0"/>
                <w:sz w:val="22"/>
              </w:rPr>
              <w:t>Za ovo radno mesto aktom o proceni rizika nije utvrđena obaveza korišćenja lične zaštitne opreme.</w:t>
            </w:r>
          </w:p>
          <w:p>
            <w:r>
              <w:rPr>
                <w:b w:val="0"/>
                <w:i w:val="0"/>
                <w:sz w:val="22"/>
              </w:rPr>
              <w:t>{{/if}}</w:t>
            </w:r>
          </w:p>
          <w:p/>
        </w:tc>
      </w:tr>
    </w:tbl>
    <w:p>
      <w:r>
        <w:t>{{/each}}</w:t>
      </w:r>
    </w:p>
    <w:p/>
    <w:p>
      <w:pPr>
        <w:keepNext/>
      </w:pPr>
      <w:r>
        <w:rPr>
          <w:b/>
          <w:i w:val="0"/>
          <w:sz w:val="24"/>
        </w:rPr>
        <w:t>Praktični deo</w:t>
      </w:r>
    </w:p>
    <w:p>
      <w:pPr>
        <w:jc w:val="both"/>
      </w:pPr>
      <w:r>
        <w:rPr>
          <w:b w:val="0"/>
          <w:i w:val="0"/>
          <w:sz w:val="22"/>
        </w:rPr>
        <w:t>Praktični deo sprovodi se na radnom mestu i obuhvata pokazivanje pravilnog i bezbednog načina obavljanja poslova, pravilno rukovanje opremom za rad, pravilnu upotrebu lične zaštitne opreme, kao i vežbu postupanja u slučaju povrede i osnovnih radnji evakuacije.</w:t>
      </w:r>
    </w:p>
    <w:p/>
    <w:p>
      <w:pPr>
        <w:keepNext/>
      </w:pPr>
      <w:r>
        <w:rPr>
          <w:b/>
          <w:i w:val="0"/>
          <w:sz w:val="24"/>
        </w:rPr>
        <w:t>Trajanje i način sprovođenja</w:t>
      </w:r>
    </w:p>
    <w:p>
      <w:pPr>
        <w:jc w:val="both"/>
      </w:pPr>
      <w:r>
        <w:rPr>
          <w:b w:val="0"/>
          <w:i w:val="0"/>
          <w:sz w:val="22"/>
        </w:rPr>
        <w:t>Obuku sprovodi savetnik, odnosno saradnik za bezbednost i zdravlje na radu, u prostorijama poslodavca i na radnom mestu. Okvirno trajanje je do jednog radnog dana, a prilagođava se složenosti poslova i nivou rizika radnog mesta. Obuka se sprovodi u toku radnog vremena i o trošku poslodavca, na jeziku koji zaposleni razume, i prilagođava se mogućnostima i sposobnostima posebnih grupa zaposlenih.</w:t>
      </w:r>
    </w:p>
    <w:p/>
    <w:p>
      <w:pPr>
        <w:keepNext/>
      </w:pPr>
      <w:r>
        <w:rPr>
          <w:b/>
          <w:i w:val="0"/>
          <w:sz w:val="24"/>
        </w:rPr>
        <w:t>Način provere obučenosti</w:t>
      </w:r>
    </w:p>
    <w:p>
      <w:pPr>
        <w:jc w:val="both"/>
      </w:pPr>
      <w:r>
        <w:rPr>
          <w:b w:val="0"/>
          <w:i w:val="0"/>
          <w:sz w:val="22"/>
        </w:rPr>
        <w:t>Provera obučenosti sprovodi se kroz teorijsku i praktičnu proveru.</w:t>
      </w:r>
    </w:p>
    <w:p>
      <w:pPr>
        <w:jc w:val="both"/>
      </w:pPr>
      <w:r>
        <w:rPr>
          <w:b w:val="0"/>
          <w:i w:val="0"/>
          <w:sz w:val="22"/>
        </w:rPr>
        <w:t>Teorijska provera obavlja se pisanim testom ili usmenim ispitivanjem i smatra se uspešnom ako je tačno odgovoreno na najmanje 60 odsto pitanja.</w:t>
      </w:r>
    </w:p>
    <w:p>
      <w:pPr>
        <w:jc w:val="both"/>
      </w:pPr>
      <w:r>
        <w:rPr>
          <w:b w:val="0"/>
          <w:i w:val="0"/>
          <w:sz w:val="22"/>
        </w:rPr>
        <w:t>Provera teorijske i praktične obučenosti obavlja se na radnom mestu (član 34. stav 5. Zakona), kroz prikaz pravilnog i bezbednog obavljanja poslova, i ocenjuje se ocenom zadovoljava ili ne zadovoljava.</w:t>
      </w:r>
    </w:p>
    <w:p>
      <w:pPr>
        <w:jc w:val="both"/>
      </w:pPr>
      <w:r>
        <w:rPr>
          <w:b w:val="0"/>
          <w:i w:val="0"/>
          <w:sz w:val="22"/>
        </w:rPr>
        <w:t>Prag prolaznosti je uspešno položena teorijska provera (najmanje 60 odsto) i ocena zadovoljava na praktičnoj proveri. Lice koje ne zadovolji upućuje se na ponovnu obuku i ponovnu proveru.</w:t>
      </w:r>
    </w:p>
    <w:p/>
    <w:p>
      <w:pPr>
        <w:keepNext/>
      </w:pPr>
      <w:r>
        <w:rPr>
          <w:b/>
          <w:i w:val="0"/>
          <w:sz w:val="24"/>
        </w:rPr>
        <w:t>Periodična i dodatna obuka</w:t>
      </w:r>
    </w:p>
    <w:p>
      <w:pPr>
        <w:jc w:val="both"/>
      </w:pPr>
      <w:r>
        <w:rPr>
          <w:b w:val="0"/>
          <w:i w:val="0"/>
          <w:sz w:val="22"/>
        </w:rPr>
        <w:t>Periodična obuka zaposlenog koji radi na radnom mestu sa povećanim rizikom vrši se najkasnije u roku od jedne godine od dana prethodne obuke, a na ostalim radnim mestima najkasnije u roku od tri godine od dana prethodne obuke (član 34. stav 6. Zakona).</w:t>
      </w:r>
    </w:p>
    <w:p>
      <w:pPr>
        <w:jc w:val="both"/>
      </w:pPr>
      <w:r>
        <w:rPr>
          <w:b w:val="0"/>
          <w:i w:val="0"/>
          <w:sz w:val="22"/>
        </w:rPr>
        <w:t>Kada radni proces zahteva dodatnu obuku, zaposleni se upoznaje sa obavljanjem radnog procesa na bezbedan način putem obaveštenja, uputstava ili instrukcija u pisanoj formi. U slučaju teške, smrtne ili kolektivne povrede na radu poslodavac odmah, a najkasnije u roku od osam dana od nastanka povrede, vrši dodatnu obuku zaposlenih na tom radnom mestu u organizacionoj jedinici gde se povreda dogodila (član 36. Zakona).</w:t>
      </w:r>
    </w:p>
    <w:p/>
    <w:p>
      <w:pPr>
        <w:keepNext/>
      </w:pPr>
      <w:r>
        <w:rPr>
          <w:b/>
          <w:i w:val="0"/>
          <w:sz w:val="24"/>
        </w:rPr>
        <w:t>Evidencija</w:t>
      </w:r>
    </w:p>
    <w:p>
      <w:pPr>
        <w:jc w:val="both"/>
      </w:pPr>
      <w:r>
        <w:rPr>
          <w:b w:val="0"/>
          <w:i w:val="0"/>
          <w:sz w:val="22"/>
        </w:rPr>
        <w:t>O sprovedenoj obuci i izvršenim proverama poslodavac vodi propisanu evidenciju (član 62. Zakona).</w:t>
      </w:r>
    </w:p>
    <w:p>
      <w:r>
        <w:rPr>
          <w:b w:val="0"/>
          <w:i w:val="0"/>
          <w:sz w:val="22"/>
        </w:rPr>
        <w:t>Evidencija naročito sadrži:</w:t>
      </w:r>
    </w:p>
    <w:p>
      <w:pPr>
        <w:pStyle w:val="ListBullet"/>
      </w:pPr>
      <w:r>
        <w:t>ime i prezime lica koje je obučavano</w:t>
      </w:r>
    </w:p>
    <w:p>
      <w:pPr>
        <w:pStyle w:val="ListBullet"/>
      </w:pPr>
      <w:r>
        <w:t>radno mesto i poslove na kojima lice radi</w:t>
      </w:r>
    </w:p>
    <w:p>
      <w:pPr>
        <w:pStyle w:val="ListBullet"/>
      </w:pPr>
      <w:r>
        <w:t>datum i sadržaj sprovedene obuke</w:t>
      </w:r>
    </w:p>
    <w:p>
      <w:pPr>
        <w:pStyle w:val="ListBullet"/>
      </w:pPr>
      <w:r>
        <w:t>podatke o licu koje je sprovelo obuku</w:t>
      </w:r>
    </w:p>
    <w:p>
      <w:pPr>
        <w:pStyle w:val="ListBullet"/>
      </w:pPr>
      <w:r>
        <w:t>rezultate teorijske i praktične provere</w:t>
      </w:r>
    </w:p>
    <w:p>
      <w:pPr>
        <w:pStyle w:val="ListBullet"/>
      </w:pPr>
      <w:r>
        <w:t>potpise učesnika i datum naredne provere</w:t>
      </w:r>
    </w:p>
    <w:p>
      <w:pPr>
        <w:jc w:val="both"/>
      </w:pPr>
      <w:r>
        <w:rPr>
          <w:b w:val="0"/>
          <w:i w:val="0"/>
          <w:sz w:val="22"/>
        </w:rPr>
        <w:t>Evidencija o zaposlenima obučenim za bezbedan i zdrav rad vodi se u pisanoj formi, drži se u sedištu ili drugoj poslovnoj prostoriji poslodavca, odnosno na mestu gde zaposleni radi, i dostupna je nadležnoj inspekciji rada na uvid.</w:t>
      </w:r>
    </w:p>
    <w:p/>
    <w:p>
      <w:pPr>
        <w:keepNext/>
      </w:pPr>
      <w:r>
        <w:rPr>
          <w:b w:val="0"/>
          <w:i w:val="0"/>
          <w:sz w:val="22"/>
        </w:rPr>
        <w:t>Broj: ____________________</w:t>
      </w:r>
    </w:p>
    <w:p>
      <w:pPr>
        <w:keepNext/>
      </w:pPr>
      <w:r>
        <w:rPr>
          <w:b w:val="0"/>
          <w:i w:val="0"/>
          <w:sz w:val="22"/>
        </w:rPr>
        <w:t>U ____________________, dana {{ today }}</w:t>
      </w:r>
    </w:p>
    <w:p>
      <w:pPr>
        <w:keepNext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 w:val="true"/>
        </w:trPr>
        <w:tc>
          <w:tcPr>
            <w:tcW w:type="dxa" w:w="4819"/>
          </w:tcPr>
          <w:p>
            <w:pPr>
              <w:jc w:val="center"/>
            </w:pPr>
            <w:r>
              <w:t>_____________________________</w:t>
              <w:br/>
              <w:t>Savetnik/saradnik za bezbednost i zdravlje na radu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t>_____________________________</w:t>
              <w:br/>
              <w:t>Direktor</w:t>
              <w:br/>
              <w:t>{{ client.director }}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</w:pPr>
    <w:r/>
    <w:r>
      <w:rPr>
        <w:b w:val="0"/>
        <w:i w:val="0"/>
        <w:color w:val="595959"/>
        <w:sz w:val="16"/>
      </w:rPr>
      <w:t>{{ client.name }} - Program obuke za bezbedan i zdrav rad</w:t>
    </w:r>
    <w:r>
      <w:rPr>
        <w:b w:val="0"/>
        <w:i w:val="0"/>
        <w:color w:val="595959"/>
        <w:sz w:val="16"/>
      </w:rPr>
      <w:tab/>
      <w:t xml:space="preserve">Strana </w:t>
    </w:r>
    <w:r>
      <w:rPr>
        <w:b w:val="0"/>
        <w:i w:val="0"/>
        <w:color w:val="595959"/>
        <w:sz w:val="16"/>
      </w:rPr>
      <w:fldChar w:fldCharType="begin"/>
    </w:r>
    <w:r>
      <w:rPr>
        <w:b w:val="0"/>
        <w:i w:val="0"/>
        <w:color w:val="595959"/>
        <w:sz w:val="16"/>
      </w:rPr>
      <w:instrText xml:space="preserve"> PAGE </w:instrText>
    </w:r>
    <w:r>
      <w:rPr>
        <w:b w:val="0"/>
        <w:i w:val="0"/>
        <w:color w:val="595959"/>
        <w:sz w:val="16"/>
      </w:rPr>
      <w:fldChar w:fldCharType="separate"/>
    </w:r>
    <w:r>
      <w:rPr>
        <w:b w:val="0"/>
        <w:i w:val="0"/>
        <w:color w:val="595959"/>
        <w:sz w:val="16"/>
      </w:rPr>
      <w:t>1</w:t>
    </w:r>
    <w:r>
      <w:rPr>
        <w:b w:val="0"/>
        <w:i w:val="0"/>
        <w:color w:val="595959"/>
        <w:sz w:val="16"/>
      </w:rPr>
      <w:fldChar w:fldCharType="end"/>
    </w:r>
    <w:r>
      <w:rPr>
        <w:b w:val="0"/>
        <w:i w:val="0"/>
        <w:color w:val="595959"/>
        <w:sz w:val="16"/>
      </w:rPr>
      <w:t xml:space="preserve"> od </w:t>
    </w:r>
    <w:r>
      <w:rPr>
        <w:b w:val="0"/>
        <w:i w:val="0"/>
        <w:color w:val="595959"/>
        <w:sz w:val="16"/>
      </w:rPr>
      <w:fldChar w:fldCharType="begin"/>
    </w:r>
    <w:r>
      <w:rPr>
        <w:b w:val="0"/>
        <w:i w:val="0"/>
        <w:color w:val="595959"/>
        <w:sz w:val="16"/>
      </w:rPr>
      <w:instrText xml:space="preserve"> NUMPAGES </w:instrText>
    </w:r>
    <w:r>
      <w:rPr>
        <w:b w:val="0"/>
        <w:i w:val="0"/>
        <w:color w:val="595959"/>
        <w:sz w:val="16"/>
      </w:rPr>
      <w:fldChar w:fldCharType="separate"/>
    </w:r>
    <w:r>
      <w:rPr>
        <w:b w:val="0"/>
        <w:i w:val="0"/>
        <w:color w:val="595959"/>
        <w:sz w:val="16"/>
      </w:rPr>
      <w:t>1</w:t>
    </w:r>
    <w:r>
      <w:rPr>
        <w:b w:val="0"/>
        <w:i w:val="0"/>
        <w:color w:val="595959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