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2A6BF" w14:textId="29059512" w:rsidR="00722016" w:rsidRPr="00722016" w:rsidRDefault="00722016" w:rsidP="00722016">
      <w:r w:rsidRPr="00722016">
        <w:rPr>
          <w:b/>
          <w:bCs/>
        </w:rPr>
        <w:t>Current State</w:t>
      </w:r>
      <w:r>
        <w:rPr>
          <w:b/>
          <w:bCs/>
        </w:rPr>
        <w:t xml:space="preserve"> – (Microsoft Intune)</w:t>
      </w:r>
      <w:r w:rsidRPr="00722016">
        <w:t>: Personal Windows Device Enrollment is Blocked</w:t>
      </w:r>
    </w:p>
    <w:p w14:paraId="7523C6A0" w14:textId="77777777" w:rsidR="00722016" w:rsidRPr="00722016" w:rsidRDefault="00722016" w:rsidP="00722016">
      <w:r w:rsidRPr="00722016">
        <w:t xml:space="preserve">When personal Windows device enrollment is blocked in Intune, users cannot join or enroll personal devices into Microsoft Entra ID through self-service methods such as OOBE setup, Settings, Company Portal, or Microsoft 365 apps. Only IT-approved enrollment methods (Autopilot, GPO, </w:t>
      </w:r>
      <w:proofErr w:type="spellStart"/>
      <w:r w:rsidRPr="00722016">
        <w:t>ConfigMgr</w:t>
      </w:r>
      <w:proofErr w:type="spellEnd"/>
      <w:r w:rsidRPr="00722016">
        <w:t>, PPKG, or Device Enrollment Manager, see notes below) are allowed. This ensures that only corporate-owned and IT-managed devices can be enrolled into Intune, strengthening governance and device control.</w:t>
      </w:r>
    </w:p>
    <w:p w14:paraId="7887E5C7" w14:textId="77777777" w:rsidR="00722016" w:rsidRPr="00722016" w:rsidRDefault="00722016" w:rsidP="00722016">
      <w:r w:rsidRPr="00722016">
        <w:t> </w:t>
      </w:r>
    </w:p>
    <w:p w14:paraId="1086F4AA" w14:textId="6A502488" w:rsidR="00722016" w:rsidRPr="00722016" w:rsidRDefault="00722016" w:rsidP="00722016">
      <w:r w:rsidRPr="00722016">
        <w:rPr>
          <w:b/>
          <w:bCs/>
        </w:rPr>
        <w:t>Current State</w:t>
      </w:r>
      <w:r>
        <w:rPr>
          <w:b/>
          <w:bCs/>
        </w:rPr>
        <w:t xml:space="preserve"> (Conditional Access Policy)</w:t>
      </w:r>
      <w:r w:rsidRPr="00722016">
        <w:t>: Block Intune Enrollment from Non-Trusted IP’s</w:t>
      </w:r>
    </w:p>
    <w:p w14:paraId="2464CA7E" w14:textId="77777777" w:rsidR="00722016" w:rsidRPr="00722016" w:rsidRDefault="00722016" w:rsidP="00722016">
      <w:r w:rsidRPr="00722016">
        <w:t>However, requiring enrollment from a known network location or corporate-controlled environment introduces additional limitations. Remote or hybrid users who are not on the corporate network cannot complete enrollment. This breaks down in practice, as it does not align with modern work scenarios where employees often set up devices from home or while traveling. As a result, enrollment policies that tie eligibility to network trust can create operational bottlenecks and poor user experiences.</w:t>
      </w:r>
    </w:p>
    <w:p w14:paraId="49B9081C" w14:textId="77777777" w:rsidR="00722016" w:rsidRPr="00722016" w:rsidRDefault="00722016" w:rsidP="00722016">
      <w:r w:rsidRPr="00722016">
        <w:t>I have linked to the Microsoft documentation outlining Enrollment Restrictions.</w:t>
      </w:r>
    </w:p>
    <w:p w14:paraId="5A78E6D2" w14:textId="77777777" w:rsidR="00722016" w:rsidRPr="00722016" w:rsidRDefault="00722016" w:rsidP="00722016">
      <w:hyperlink r:id="rId5" w:tooltip="https://learn.microsoft.com/en-us/intune/intune-service/enrollment/enrollment-restrictions-set" w:history="1">
        <w:r w:rsidRPr="00722016">
          <w:rPr>
            <w:rStyle w:val="Hyperlink"/>
          </w:rPr>
          <w:t>What are enrollment Restrictions?</w:t>
        </w:r>
      </w:hyperlink>
    </w:p>
    <w:p w14:paraId="6B3BFF85" w14:textId="77777777" w:rsidR="00722016" w:rsidRPr="00722016" w:rsidRDefault="00722016" w:rsidP="00722016">
      <w:r w:rsidRPr="00722016">
        <w:br/>
        <w:t>Enrollment Scenarios in Practice</w:t>
      </w:r>
    </w:p>
    <w:p w14:paraId="77C68D78" w14:textId="77777777" w:rsidR="00722016" w:rsidRPr="00722016" w:rsidRDefault="00722016" w:rsidP="00722016">
      <w:r w:rsidRPr="00722016">
        <w:rPr>
          <w:b/>
          <w:bCs/>
        </w:rPr>
        <w:t>Blocked Scenarios (Personal Devices)</w:t>
      </w:r>
    </w:p>
    <w:p w14:paraId="172E340D" w14:textId="77777777" w:rsidR="00722016" w:rsidRPr="00722016" w:rsidRDefault="00722016" w:rsidP="00722016">
      <w:r w:rsidRPr="00722016">
        <w:t>These enrollment attempts are blocked to prevent unmanaged or personal devices from being added:</w:t>
      </w:r>
    </w:p>
    <w:p w14:paraId="628F8926" w14:textId="77777777" w:rsidR="00722016" w:rsidRPr="00722016" w:rsidRDefault="00722016" w:rsidP="00722016">
      <w:r w:rsidRPr="00722016">
        <w:t>1. Personal laptop during OOBE (Out-of-Box Experience)</w:t>
      </w:r>
    </w:p>
    <w:p w14:paraId="378D5A03" w14:textId="77777777" w:rsidR="00722016" w:rsidRPr="00722016" w:rsidRDefault="00722016" w:rsidP="00722016">
      <w:pPr>
        <w:numPr>
          <w:ilvl w:val="0"/>
          <w:numId w:val="1"/>
        </w:numPr>
      </w:pPr>
      <w:r w:rsidRPr="00722016">
        <w:t>User selects “Set up for work or school” during Windows setup.</w:t>
      </w:r>
    </w:p>
    <w:p w14:paraId="44C2EB73" w14:textId="77777777" w:rsidR="00722016" w:rsidRPr="00722016" w:rsidRDefault="00722016" w:rsidP="00722016">
      <w:pPr>
        <w:numPr>
          <w:ilvl w:val="0"/>
          <w:numId w:val="1"/>
        </w:numPr>
      </w:pPr>
      <w:r w:rsidRPr="00722016">
        <w:t>Device attempts Entra ID join with automatic MDM enrollment.</w:t>
      </w:r>
    </w:p>
    <w:p w14:paraId="04CF63C3" w14:textId="77777777" w:rsidR="00722016" w:rsidRPr="00722016" w:rsidRDefault="00722016" w:rsidP="00722016">
      <w:pPr>
        <w:numPr>
          <w:ilvl w:val="0"/>
          <w:numId w:val="1"/>
        </w:numPr>
      </w:pPr>
      <w:r w:rsidRPr="00722016">
        <w:rPr>
          <w:b/>
          <w:bCs/>
        </w:rPr>
        <w:t>Blocked</w:t>
      </w:r>
      <w:r w:rsidRPr="00722016">
        <w:t> unless registered with Autopilot.</w:t>
      </w:r>
    </w:p>
    <w:p w14:paraId="2332E02C" w14:textId="77777777" w:rsidR="00722016" w:rsidRPr="00722016" w:rsidRDefault="00722016" w:rsidP="00722016">
      <w:r w:rsidRPr="00722016">
        <w:t>2. Existing personal laptop (from Settings)</w:t>
      </w:r>
    </w:p>
    <w:p w14:paraId="71CEB187" w14:textId="77777777" w:rsidR="00722016" w:rsidRPr="00722016" w:rsidRDefault="00722016" w:rsidP="00722016">
      <w:pPr>
        <w:numPr>
          <w:ilvl w:val="0"/>
          <w:numId w:val="2"/>
        </w:numPr>
      </w:pPr>
      <w:r w:rsidRPr="00722016">
        <w:t>User goes to Settings → Accounts → Access work or school → Connect → Entra ID join.</w:t>
      </w:r>
    </w:p>
    <w:p w14:paraId="217D7511" w14:textId="77777777" w:rsidR="00722016" w:rsidRPr="00722016" w:rsidRDefault="00722016" w:rsidP="00722016">
      <w:pPr>
        <w:numPr>
          <w:ilvl w:val="0"/>
          <w:numId w:val="2"/>
        </w:numPr>
      </w:pPr>
      <w:r w:rsidRPr="00722016">
        <w:t>Device attempts automatic MDM enrollment.</w:t>
      </w:r>
    </w:p>
    <w:p w14:paraId="6500CBBD" w14:textId="77777777" w:rsidR="00722016" w:rsidRPr="00722016" w:rsidRDefault="00722016" w:rsidP="00722016">
      <w:pPr>
        <w:numPr>
          <w:ilvl w:val="0"/>
          <w:numId w:val="2"/>
        </w:numPr>
      </w:pPr>
      <w:r w:rsidRPr="00722016">
        <w:rPr>
          <w:b/>
          <w:bCs/>
        </w:rPr>
        <w:t>Blocked</w:t>
      </w:r>
      <w:r w:rsidRPr="00722016">
        <w:t> because it is personal.</w:t>
      </w:r>
    </w:p>
    <w:p w14:paraId="6A950533" w14:textId="77777777" w:rsidR="00722016" w:rsidRPr="00722016" w:rsidRDefault="00722016" w:rsidP="00722016">
      <w:r w:rsidRPr="00722016">
        <w:lastRenderedPageBreak/>
        <w:t>3. Add Work Account (without join)</w:t>
      </w:r>
    </w:p>
    <w:p w14:paraId="71F552CF" w14:textId="77777777" w:rsidR="00722016" w:rsidRPr="00722016" w:rsidRDefault="00722016" w:rsidP="00722016">
      <w:pPr>
        <w:numPr>
          <w:ilvl w:val="0"/>
          <w:numId w:val="3"/>
        </w:numPr>
      </w:pPr>
      <w:r w:rsidRPr="00722016">
        <w:t>User adds a work account in Settings → Access work or school.</w:t>
      </w:r>
    </w:p>
    <w:p w14:paraId="6B76D4DE" w14:textId="77777777" w:rsidR="00722016" w:rsidRPr="00722016" w:rsidRDefault="00722016" w:rsidP="00722016">
      <w:pPr>
        <w:numPr>
          <w:ilvl w:val="0"/>
          <w:numId w:val="3"/>
        </w:numPr>
      </w:pPr>
      <w:r w:rsidRPr="00722016">
        <w:t>Triggers automatic MDM enrollment.</w:t>
      </w:r>
    </w:p>
    <w:p w14:paraId="48D14AA6" w14:textId="77777777" w:rsidR="00722016" w:rsidRPr="00722016" w:rsidRDefault="00722016" w:rsidP="00722016">
      <w:pPr>
        <w:numPr>
          <w:ilvl w:val="0"/>
          <w:numId w:val="3"/>
        </w:numPr>
      </w:pPr>
      <w:r w:rsidRPr="00722016">
        <w:rPr>
          <w:b/>
          <w:bCs/>
        </w:rPr>
        <w:t>Blocked</w:t>
      </w:r>
      <w:r w:rsidRPr="00722016">
        <w:t> as personal.</w:t>
      </w:r>
    </w:p>
    <w:p w14:paraId="2029A1D7" w14:textId="77777777" w:rsidR="00722016" w:rsidRPr="00722016" w:rsidRDefault="00722016" w:rsidP="00722016">
      <w:r w:rsidRPr="00722016">
        <w:t>4. MDM enrollment only from Settings</w:t>
      </w:r>
    </w:p>
    <w:p w14:paraId="78327F48" w14:textId="77777777" w:rsidR="00722016" w:rsidRPr="00722016" w:rsidRDefault="00722016" w:rsidP="00722016">
      <w:pPr>
        <w:numPr>
          <w:ilvl w:val="0"/>
          <w:numId w:val="4"/>
        </w:numPr>
      </w:pPr>
      <w:r w:rsidRPr="00722016">
        <w:t xml:space="preserve">User attempts manual MDM enrollment without Entra </w:t>
      </w:r>
      <w:proofErr w:type="gramStart"/>
      <w:r w:rsidRPr="00722016">
        <w:t>join</w:t>
      </w:r>
      <w:proofErr w:type="gramEnd"/>
      <w:r w:rsidRPr="00722016">
        <w:t>.</w:t>
      </w:r>
    </w:p>
    <w:p w14:paraId="4449E69D" w14:textId="77777777" w:rsidR="00722016" w:rsidRPr="00722016" w:rsidRDefault="00722016" w:rsidP="00722016">
      <w:pPr>
        <w:numPr>
          <w:ilvl w:val="0"/>
          <w:numId w:val="4"/>
        </w:numPr>
      </w:pPr>
      <w:r w:rsidRPr="00722016">
        <w:rPr>
          <w:b/>
          <w:bCs/>
        </w:rPr>
        <w:t>Blocked</w:t>
      </w:r>
      <w:r w:rsidRPr="00722016">
        <w:t> as personal.</w:t>
      </w:r>
    </w:p>
    <w:p w14:paraId="6220FFCE" w14:textId="77777777" w:rsidR="00722016" w:rsidRPr="00722016" w:rsidRDefault="00722016" w:rsidP="00722016">
      <w:r w:rsidRPr="00722016">
        <w:t>5. Enrollment via Intune Company Portal app</w:t>
      </w:r>
    </w:p>
    <w:p w14:paraId="27027BD2" w14:textId="77777777" w:rsidR="00722016" w:rsidRPr="00722016" w:rsidRDefault="00722016" w:rsidP="00722016">
      <w:pPr>
        <w:numPr>
          <w:ilvl w:val="0"/>
          <w:numId w:val="5"/>
        </w:numPr>
      </w:pPr>
      <w:r w:rsidRPr="00722016">
        <w:t>User installs and signs into Company Portal on a personal device.</w:t>
      </w:r>
    </w:p>
    <w:p w14:paraId="2554F60A" w14:textId="77777777" w:rsidR="00722016" w:rsidRPr="00722016" w:rsidRDefault="00722016" w:rsidP="00722016">
      <w:pPr>
        <w:numPr>
          <w:ilvl w:val="0"/>
          <w:numId w:val="5"/>
        </w:numPr>
      </w:pPr>
      <w:r w:rsidRPr="00722016">
        <w:t>Enrollment attempts are </w:t>
      </w:r>
      <w:r w:rsidRPr="00722016">
        <w:rPr>
          <w:b/>
          <w:bCs/>
        </w:rPr>
        <w:t>blocked</w:t>
      </w:r>
      <w:r w:rsidRPr="00722016">
        <w:t>.</w:t>
      </w:r>
    </w:p>
    <w:p w14:paraId="476FB3CD" w14:textId="77777777" w:rsidR="00722016" w:rsidRPr="00722016" w:rsidRDefault="00722016" w:rsidP="00722016">
      <w:r w:rsidRPr="00722016">
        <w:t>6. Enrollment via Microsoft 365 apps</w:t>
      </w:r>
    </w:p>
    <w:p w14:paraId="235194F8" w14:textId="77777777" w:rsidR="00722016" w:rsidRPr="00722016" w:rsidRDefault="00722016" w:rsidP="00722016">
      <w:pPr>
        <w:numPr>
          <w:ilvl w:val="0"/>
          <w:numId w:val="6"/>
        </w:numPr>
      </w:pPr>
      <w:r w:rsidRPr="00722016">
        <w:t>User signs into Teams, Outlook, or Office on a personal device.</w:t>
      </w:r>
    </w:p>
    <w:p w14:paraId="0BCCAB3D" w14:textId="77777777" w:rsidR="00722016" w:rsidRPr="00722016" w:rsidRDefault="00722016" w:rsidP="00722016">
      <w:pPr>
        <w:numPr>
          <w:ilvl w:val="0"/>
          <w:numId w:val="6"/>
        </w:numPr>
      </w:pPr>
      <w:r w:rsidRPr="00722016">
        <w:t>Selects “Allow my organization to manage this device.”</w:t>
      </w:r>
    </w:p>
    <w:p w14:paraId="45D1FF07" w14:textId="77777777" w:rsidR="00722016" w:rsidRPr="00722016" w:rsidRDefault="00722016" w:rsidP="00722016">
      <w:pPr>
        <w:numPr>
          <w:ilvl w:val="0"/>
          <w:numId w:val="6"/>
        </w:numPr>
      </w:pPr>
      <w:r w:rsidRPr="00722016">
        <w:t>Enrollment is </w:t>
      </w:r>
      <w:r w:rsidRPr="00722016">
        <w:rPr>
          <w:b/>
          <w:bCs/>
        </w:rPr>
        <w:t>blocked</w:t>
      </w:r>
      <w:r w:rsidRPr="00722016">
        <w:t>.</w:t>
      </w:r>
    </w:p>
    <w:p w14:paraId="24318E67" w14:textId="77777777" w:rsidR="00722016" w:rsidRPr="00722016" w:rsidRDefault="00722016" w:rsidP="00722016">
      <w:r w:rsidRPr="00722016">
        <w:t> </w:t>
      </w:r>
    </w:p>
    <w:p w14:paraId="1C30DD9C" w14:textId="77777777" w:rsidR="00722016" w:rsidRPr="00722016" w:rsidRDefault="00722016" w:rsidP="00722016">
      <w:r w:rsidRPr="00722016">
        <w:rPr>
          <w:b/>
          <w:bCs/>
        </w:rPr>
        <w:t>Allowed Scenarios (Corporate Devices)</w:t>
      </w:r>
    </w:p>
    <w:p w14:paraId="19B27B7F" w14:textId="77777777" w:rsidR="00722016" w:rsidRPr="00722016" w:rsidRDefault="00722016" w:rsidP="00722016">
      <w:r w:rsidRPr="00722016">
        <w:t>Corporate-owned or IT-provisioned devices are recognized and allowed to enroll:</w:t>
      </w:r>
    </w:p>
    <w:p w14:paraId="6F387819" w14:textId="77777777" w:rsidR="00722016" w:rsidRPr="00722016" w:rsidRDefault="00722016" w:rsidP="00722016">
      <w:r w:rsidRPr="00722016">
        <w:t>1. Autopilot-registered device</w:t>
      </w:r>
    </w:p>
    <w:p w14:paraId="6464436D" w14:textId="77777777" w:rsidR="00722016" w:rsidRPr="00722016" w:rsidRDefault="00722016" w:rsidP="00722016">
      <w:pPr>
        <w:numPr>
          <w:ilvl w:val="0"/>
          <w:numId w:val="7"/>
        </w:numPr>
      </w:pPr>
      <w:r w:rsidRPr="00722016">
        <w:t>Device recognized as corporate (Device HASH uploaded to Intune) during OOBE through Autopilot registration.</w:t>
      </w:r>
    </w:p>
    <w:p w14:paraId="757B9F9C" w14:textId="77777777" w:rsidR="00722016" w:rsidRPr="00722016" w:rsidRDefault="00722016" w:rsidP="00722016">
      <w:pPr>
        <w:numPr>
          <w:ilvl w:val="0"/>
          <w:numId w:val="7"/>
        </w:numPr>
      </w:pPr>
      <w:r w:rsidRPr="00722016">
        <w:t>Enrollment is </w:t>
      </w:r>
      <w:r w:rsidRPr="00722016">
        <w:rPr>
          <w:b/>
          <w:bCs/>
        </w:rPr>
        <w:t>allowed</w:t>
      </w:r>
      <w:r w:rsidRPr="00722016">
        <w:t>.</w:t>
      </w:r>
    </w:p>
    <w:p w14:paraId="22A71CE8" w14:textId="77777777" w:rsidR="00722016" w:rsidRPr="00722016" w:rsidRDefault="00722016" w:rsidP="00722016">
      <w:r w:rsidRPr="00722016">
        <w:t>2. Domain Join + Group Policy</w:t>
      </w:r>
    </w:p>
    <w:p w14:paraId="000CC63A" w14:textId="77777777" w:rsidR="00722016" w:rsidRPr="00722016" w:rsidRDefault="00722016" w:rsidP="00722016">
      <w:pPr>
        <w:numPr>
          <w:ilvl w:val="0"/>
          <w:numId w:val="8"/>
        </w:numPr>
      </w:pPr>
      <w:r w:rsidRPr="00722016">
        <w:t xml:space="preserve">Device joined to </w:t>
      </w:r>
      <w:proofErr w:type="spellStart"/>
      <w:r w:rsidRPr="00722016">
        <w:t>MyGSec</w:t>
      </w:r>
      <w:proofErr w:type="spellEnd"/>
      <w:r w:rsidRPr="00722016">
        <w:t xml:space="preserve"> manually or during Quest Migration</w:t>
      </w:r>
    </w:p>
    <w:p w14:paraId="051D5FAA" w14:textId="77777777" w:rsidR="00722016" w:rsidRPr="00722016" w:rsidRDefault="00722016" w:rsidP="00722016">
      <w:pPr>
        <w:numPr>
          <w:ilvl w:val="0"/>
          <w:numId w:val="8"/>
        </w:numPr>
      </w:pPr>
      <w:r w:rsidRPr="00722016">
        <w:t>Enrollment initiated by IT configuration, using the device token.</w:t>
      </w:r>
    </w:p>
    <w:p w14:paraId="52EB9FE6" w14:textId="77777777" w:rsidR="00722016" w:rsidRPr="00722016" w:rsidRDefault="00722016" w:rsidP="00722016">
      <w:pPr>
        <w:numPr>
          <w:ilvl w:val="0"/>
          <w:numId w:val="8"/>
        </w:numPr>
      </w:pPr>
      <w:r w:rsidRPr="00722016">
        <w:rPr>
          <w:b/>
          <w:bCs/>
        </w:rPr>
        <w:t>Allowed</w:t>
      </w:r>
      <w:r w:rsidRPr="00722016">
        <w:t>.</w:t>
      </w:r>
    </w:p>
    <w:p w14:paraId="34622952" w14:textId="77777777" w:rsidR="00722016" w:rsidRPr="00722016" w:rsidRDefault="00722016" w:rsidP="00722016">
      <w:r w:rsidRPr="00722016">
        <w:t>3. Bulk provisioning package (PPKG)</w:t>
      </w:r>
    </w:p>
    <w:p w14:paraId="34D7EC3B" w14:textId="77777777" w:rsidR="00722016" w:rsidRPr="00722016" w:rsidRDefault="00722016" w:rsidP="00722016">
      <w:pPr>
        <w:numPr>
          <w:ilvl w:val="0"/>
          <w:numId w:val="9"/>
        </w:numPr>
      </w:pPr>
      <w:r w:rsidRPr="00722016">
        <w:lastRenderedPageBreak/>
        <w:t>Device provisioned using IT-provided PPKG.</w:t>
      </w:r>
    </w:p>
    <w:p w14:paraId="5A8E6B2C" w14:textId="77777777" w:rsidR="00722016" w:rsidRPr="00722016" w:rsidRDefault="00722016" w:rsidP="00722016">
      <w:pPr>
        <w:numPr>
          <w:ilvl w:val="0"/>
          <w:numId w:val="9"/>
        </w:numPr>
      </w:pPr>
      <w:r w:rsidRPr="00722016">
        <w:rPr>
          <w:b/>
          <w:bCs/>
        </w:rPr>
        <w:t>Allowed</w:t>
      </w:r>
      <w:r w:rsidRPr="00722016">
        <w:t>.</w:t>
      </w:r>
    </w:p>
    <w:p w14:paraId="24B26BBA" w14:textId="77777777" w:rsidR="00722016" w:rsidRPr="00722016" w:rsidRDefault="00722016" w:rsidP="00722016">
      <w:r w:rsidRPr="00722016">
        <w:t>4. Device Enrollment Manager (DEM) account</w:t>
      </w:r>
    </w:p>
    <w:p w14:paraId="6BDB71E5" w14:textId="77777777" w:rsidR="00722016" w:rsidRPr="00722016" w:rsidRDefault="00722016" w:rsidP="00722016">
      <w:pPr>
        <w:numPr>
          <w:ilvl w:val="0"/>
          <w:numId w:val="10"/>
        </w:numPr>
      </w:pPr>
      <w:r w:rsidRPr="00722016">
        <w:t>Enrollment performed using DEM account.</w:t>
      </w:r>
    </w:p>
    <w:p w14:paraId="5CAD484A" w14:textId="77777777" w:rsidR="00722016" w:rsidRPr="00722016" w:rsidRDefault="00722016" w:rsidP="00722016">
      <w:pPr>
        <w:numPr>
          <w:ilvl w:val="0"/>
          <w:numId w:val="10"/>
        </w:numPr>
      </w:pPr>
      <w:r w:rsidRPr="00722016">
        <w:rPr>
          <w:b/>
          <w:bCs/>
        </w:rPr>
        <w:t>Allowed</w:t>
      </w:r>
      <w:r w:rsidRPr="00722016">
        <w:t>.</w:t>
      </w:r>
    </w:p>
    <w:p w14:paraId="7EBB2083" w14:textId="77777777" w:rsidR="00722016" w:rsidRPr="00722016" w:rsidRDefault="00722016" w:rsidP="00722016">
      <w:r w:rsidRPr="00722016">
        <w:rPr>
          <w:b/>
          <w:bCs/>
        </w:rPr>
        <w:t>Summary of Proposed Approach</w:t>
      </w:r>
    </w:p>
    <w:p w14:paraId="6BDB356D" w14:textId="77777777" w:rsidR="00722016" w:rsidRPr="00722016" w:rsidRDefault="00722016" w:rsidP="00722016">
      <w:r w:rsidRPr="00722016">
        <w:t>We propose removing the known network location restriction for Intune device enrollment. While this restriction provides an additional safeguard, it prevents legitimate remote and hybrid users from enrolling devices outside of the corporate network, which would be needed for (Device Reset, Intune Reset and other support scenarios) creating operational and user experience challenges.</w:t>
      </w:r>
    </w:p>
    <w:p w14:paraId="539D8FE8" w14:textId="77777777" w:rsidR="00722016" w:rsidRPr="00722016" w:rsidRDefault="00722016" w:rsidP="00722016">
      <w:r w:rsidRPr="00722016">
        <w:t>Instead, we will rely solely on the Intune personal device enrollment block configuration. This policy already ensures that only IT-approved enrollment scenarios are permitted, while preventing personal/self-service enrollment attempts. The result is a cleaner, more flexible model:</w:t>
      </w:r>
    </w:p>
    <w:p w14:paraId="5EA6941E" w14:textId="77777777" w:rsidR="00722016" w:rsidRPr="00722016" w:rsidRDefault="00722016" w:rsidP="00722016">
      <w:r w:rsidRPr="00722016">
        <w:t>•  Blocked: Personal/self-service enrollment methods (OOBE, Settings, Company Portal, Microsoft 365 apps).</w:t>
      </w:r>
    </w:p>
    <w:p w14:paraId="378D1EC3" w14:textId="77777777" w:rsidR="00722016" w:rsidRPr="00722016" w:rsidRDefault="00722016" w:rsidP="00722016">
      <w:r w:rsidRPr="00722016">
        <w:t xml:space="preserve">•  Allowed: IT-controlled enrollment methods (Autopilot, GPO, </w:t>
      </w:r>
      <w:proofErr w:type="spellStart"/>
      <w:r w:rsidRPr="00722016">
        <w:t>ConfigMgr</w:t>
      </w:r>
      <w:proofErr w:type="spellEnd"/>
      <w:r w:rsidRPr="00722016">
        <w:t>, PPKG, Device Enrollment Manager, see notes below).</w:t>
      </w:r>
    </w:p>
    <w:p w14:paraId="0F35E8C5" w14:textId="68042275" w:rsidR="00722016" w:rsidRPr="00722016" w:rsidRDefault="00722016" w:rsidP="00722016">
      <w:r w:rsidRPr="00722016">
        <w:t>This approach maintains strong security and compliance by preventing personal device enrollment, while removing the unnecessary dependency on a corporate network location. It enables seamless enrollment for remote and hybrid users without weakening enforcement of corporate-only device management. </w:t>
      </w:r>
    </w:p>
    <w:p w14:paraId="222F86F7" w14:textId="1EA1DEE5" w:rsidR="00722016" w:rsidRPr="00722016" w:rsidRDefault="00722016" w:rsidP="00722016">
      <w:r>
        <w:br/>
      </w:r>
      <w:r>
        <w:br/>
      </w:r>
      <w:r>
        <w:br/>
      </w:r>
      <w:r>
        <w:br/>
      </w:r>
      <w:r>
        <w:br/>
      </w:r>
      <w:r w:rsidRPr="00722016">
        <w:t>Additional notes:</w:t>
      </w:r>
    </w:p>
    <w:p w14:paraId="14596A74" w14:textId="77777777" w:rsidR="00722016" w:rsidRPr="00722016" w:rsidRDefault="00722016" w:rsidP="00722016">
      <w:r w:rsidRPr="00722016">
        <w:t> Description of Enrolment types for Company devices:</w:t>
      </w:r>
    </w:p>
    <w:p w14:paraId="4555AADF" w14:textId="77777777" w:rsidR="00722016" w:rsidRPr="00722016" w:rsidRDefault="00722016" w:rsidP="00722016">
      <w:pPr>
        <w:numPr>
          <w:ilvl w:val="0"/>
          <w:numId w:val="11"/>
        </w:numPr>
      </w:pPr>
      <w:r w:rsidRPr="00722016">
        <w:rPr>
          <w:b/>
          <w:bCs/>
        </w:rPr>
        <w:lastRenderedPageBreak/>
        <w:t>Autopilot: </w:t>
      </w:r>
      <w:r w:rsidRPr="00722016">
        <w:t>A modern deployment method that configures devices from the cloud during OOBE (Out-of-Box Experience).  Ideal for new devices being shipped directly to users.  Only an IT role can add the Hash required to use this enrollment.</w:t>
      </w:r>
    </w:p>
    <w:p w14:paraId="028918D6" w14:textId="77777777" w:rsidR="00722016" w:rsidRPr="00722016" w:rsidRDefault="00722016" w:rsidP="00722016">
      <w:pPr>
        <w:numPr>
          <w:ilvl w:val="0"/>
          <w:numId w:val="11"/>
        </w:numPr>
      </w:pPr>
      <w:r w:rsidRPr="00722016">
        <w:rPr>
          <w:b/>
          <w:bCs/>
        </w:rPr>
        <w:t>Group Policy (GPO) Enrollment: </w:t>
      </w:r>
      <w:r w:rsidRPr="00722016">
        <w:t>Uses Active Directory Group Policy to automatically enroll domain-joined Windows 11 devices into Intune.  Ideal for Hybrid joined non-Autopilot devices.  Only an IT role can add the device to AD and the correct OU required to use this enrollment.</w:t>
      </w:r>
    </w:p>
    <w:p w14:paraId="608A8BD4" w14:textId="77777777" w:rsidR="00722016" w:rsidRPr="00722016" w:rsidRDefault="00722016" w:rsidP="00722016">
      <w:pPr>
        <w:numPr>
          <w:ilvl w:val="0"/>
          <w:numId w:val="11"/>
        </w:numPr>
      </w:pPr>
      <w:proofErr w:type="spellStart"/>
      <w:r w:rsidRPr="00722016">
        <w:rPr>
          <w:b/>
          <w:bCs/>
        </w:rPr>
        <w:t>ConfigMgr</w:t>
      </w:r>
      <w:proofErr w:type="spellEnd"/>
      <w:r w:rsidRPr="00722016">
        <w:rPr>
          <w:b/>
          <w:bCs/>
        </w:rPr>
        <w:t xml:space="preserve"> (SCCM) Co-management</w:t>
      </w:r>
      <w:proofErr w:type="gramStart"/>
      <w:r w:rsidRPr="00722016">
        <w:rPr>
          <w:b/>
          <w:bCs/>
        </w:rPr>
        <w:t>:  </w:t>
      </w:r>
      <w:r w:rsidRPr="00722016">
        <w:t>Allows</w:t>
      </w:r>
      <w:proofErr w:type="gramEnd"/>
      <w:r w:rsidRPr="00722016">
        <w:t xml:space="preserve"> devices managed by Configuration Manager to also be managed by Intune. We do not use </w:t>
      </w:r>
      <w:proofErr w:type="gramStart"/>
      <w:r w:rsidRPr="00722016">
        <w:t>SCCM</w:t>
      </w:r>
      <w:proofErr w:type="gramEnd"/>
      <w:r w:rsidRPr="00722016">
        <w:t xml:space="preserve"> so this option is not available.</w:t>
      </w:r>
    </w:p>
    <w:p w14:paraId="3E2325CD" w14:textId="77777777" w:rsidR="00722016" w:rsidRPr="00722016" w:rsidRDefault="00722016" w:rsidP="00722016">
      <w:pPr>
        <w:numPr>
          <w:ilvl w:val="0"/>
          <w:numId w:val="11"/>
        </w:numPr>
      </w:pPr>
      <w:r w:rsidRPr="00722016">
        <w:rPr>
          <w:b/>
          <w:bCs/>
        </w:rPr>
        <w:t>Provisioning Package (PPKG)</w:t>
      </w:r>
      <w:proofErr w:type="gramStart"/>
      <w:r w:rsidRPr="00722016">
        <w:rPr>
          <w:b/>
          <w:bCs/>
        </w:rPr>
        <w:t>:  </w:t>
      </w:r>
      <w:r w:rsidRPr="00722016">
        <w:t>A</w:t>
      </w:r>
      <w:proofErr w:type="gramEnd"/>
      <w:r w:rsidRPr="00722016">
        <w:t xml:space="preserve"> Windows configuration file that can be used to enroll devices into Intune.  Package must be created on prem by an administrator.  We do not use </w:t>
      </w:r>
      <w:proofErr w:type="gramStart"/>
      <w:r w:rsidRPr="00722016">
        <w:t>this</w:t>
      </w:r>
      <w:proofErr w:type="gramEnd"/>
      <w:r w:rsidRPr="00722016">
        <w:t xml:space="preserve"> and it would not be available for enrolment.</w:t>
      </w:r>
    </w:p>
    <w:p w14:paraId="656DF586" w14:textId="77777777" w:rsidR="00722016" w:rsidRPr="00722016" w:rsidRDefault="00722016" w:rsidP="00722016">
      <w:pPr>
        <w:numPr>
          <w:ilvl w:val="0"/>
          <w:numId w:val="11"/>
        </w:numPr>
      </w:pPr>
      <w:r w:rsidRPr="00722016">
        <w:rPr>
          <w:b/>
          <w:bCs/>
        </w:rPr>
        <w:t>Device Enrollment Manager (DEM): </w:t>
      </w:r>
      <w:r w:rsidRPr="00722016">
        <w:t xml:space="preserve">A special Intune account that can enroll multiple devices (up to 1000).  Can enforce </w:t>
      </w:r>
      <w:proofErr w:type="gramStart"/>
      <w:r w:rsidRPr="00722016">
        <w:t>kiosk</w:t>
      </w:r>
      <w:proofErr w:type="gramEnd"/>
      <w:r w:rsidRPr="00722016">
        <w:t xml:space="preserve"> or restricted-use policies.  We do not use </w:t>
      </w:r>
      <w:proofErr w:type="gramStart"/>
      <w:r w:rsidRPr="00722016">
        <w:t>this</w:t>
      </w:r>
      <w:proofErr w:type="gramEnd"/>
      <w:r w:rsidRPr="00722016">
        <w:t xml:space="preserve"> and it would not be available for enrolment.</w:t>
      </w:r>
    </w:p>
    <w:p w14:paraId="4670FD88" w14:textId="77777777" w:rsidR="00722016" w:rsidRPr="00722016" w:rsidRDefault="00722016" w:rsidP="00722016">
      <w:r w:rsidRPr="00722016">
        <w:t> </w:t>
      </w:r>
    </w:p>
    <w:p w14:paraId="467F9F7E" w14:textId="77777777" w:rsidR="00C23E73" w:rsidRDefault="00C23E73"/>
    <w:sectPr w:rsidR="00C23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03A"/>
    <w:multiLevelType w:val="multilevel"/>
    <w:tmpl w:val="9B28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C4AE9"/>
    <w:multiLevelType w:val="multilevel"/>
    <w:tmpl w:val="09A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3346B"/>
    <w:multiLevelType w:val="multilevel"/>
    <w:tmpl w:val="442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91231"/>
    <w:multiLevelType w:val="multilevel"/>
    <w:tmpl w:val="2308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5A17C1"/>
    <w:multiLevelType w:val="multilevel"/>
    <w:tmpl w:val="F980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255D2"/>
    <w:multiLevelType w:val="multilevel"/>
    <w:tmpl w:val="2430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D414A"/>
    <w:multiLevelType w:val="multilevel"/>
    <w:tmpl w:val="100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C814C3"/>
    <w:multiLevelType w:val="multilevel"/>
    <w:tmpl w:val="6C76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563394"/>
    <w:multiLevelType w:val="multilevel"/>
    <w:tmpl w:val="C98C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D8772C"/>
    <w:multiLevelType w:val="multilevel"/>
    <w:tmpl w:val="2806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700E59"/>
    <w:multiLevelType w:val="multilevel"/>
    <w:tmpl w:val="604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3639826">
    <w:abstractNumId w:val="6"/>
  </w:num>
  <w:num w:numId="2" w16cid:durableId="646861240">
    <w:abstractNumId w:val="8"/>
  </w:num>
  <w:num w:numId="3" w16cid:durableId="1716585047">
    <w:abstractNumId w:val="3"/>
  </w:num>
  <w:num w:numId="4" w16cid:durableId="857693519">
    <w:abstractNumId w:val="4"/>
  </w:num>
  <w:num w:numId="5" w16cid:durableId="1399329318">
    <w:abstractNumId w:val="0"/>
  </w:num>
  <w:num w:numId="6" w16cid:durableId="1489518385">
    <w:abstractNumId w:val="9"/>
  </w:num>
  <w:num w:numId="7" w16cid:durableId="959190573">
    <w:abstractNumId w:val="1"/>
  </w:num>
  <w:num w:numId="8" w16cid:durableId="1009333970">
    <w:abstractNumId w:val="7"/>
  </w:num>
  <w:num w:numId="9" w16cid:durableId="1907762883">
    <w:abstractNumId w:val="10"/>
  </w:num>
  <w:num w:numId="10" w16cid:durableId="1638149298">
    <w:abstractNumId w:val="5"/>
  </w:num>
  <w:num w:numId="11" w16cid:durableId="314069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16"/>
    <w:rsid w:val="00136047"/>
    <w:rsid w:val="00722016"/>
    <w:rsid w:val="0089509A"/>
    <w:rsid w:val="00930769"/>
    <w:rsid w:val="00C03B00"/>
    <w:rsid w:val="00C2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96FE"/>
  <w15:chartTrackingRefBased/>
  <w15:docId w15:val="{C7A9A6BB-FDAA-425F-92DA-4667492A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016"/>
    <w:rPr>
      <w:rFonts w:eastAsiaTheme="majorEastAsia" w:cstheme="majorBidi"/>
      <w:color w:val="272727" w:themeColor="text1" w:themeTint="D8"/>
    </w:rPr>
  </w:style>
  <w:style w:type="paragraph" w:styleId="Title">
    <w:name w:val="Title"/>
    <w:basedOn w:val="Normal"/>
    <w:next w:val="Normal"/>
    <w:link w:val="TitleChar"/>
    <w:uiPriority w:val="10"/>
    <w:qFormat/>
    <w:rsid w:val="00722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016"/>
    <w:pPr>
      <w:spacing w:before="160"/>
      <w:jc w:val="center"/>
    </w:pPr>
    <w:rPr>
      <w:i/>
      <w:iCs/>
      <w:color w:val="404040" w:themeColor="text1" w:themeTint="BF"/>
    </w:rPr>
  </w:style>
  <w:style w:type="character" w:customStyle="1" w:styleId="QuoteChar">
    <w:name w:val="Quote Char"/>
    <w:basedOn w:val="DefaultParagraphFont"/>
    <w:link w:val="Quote"/>
    <w:uiPriority w:val="29"/>
    <w:rsid w:val="00722016"/>
    <w:rPr>
      <w:i/>
      <w:iCs/>
      <w:color w:val="404040" w:themeColor="text1" w:themeTint="BF"/>
    </w:rPr>
  </w:style>
  <w:style w:type="paragraph" w:styleId="ListParagraph">
    <w:name w:val="List Paragraph"/>
    <w:basedOn w:val="Normal"/>
    <w:uiPriority w:val="34"/>
    <w:qFormat/>
    <w:rsid w:val="00722016"/>
    <w:pPr>
      <w:ind w:left="720"/>
      <w:contextualSpacing/>
    </w:pPr>
  </w:style>
  <w:style w:type="character" w:styleId="IntenseEmphasis">
    <w:name w:val="Intense Emphasis"/>
    <w:basedOn w:val="DefaultParagraphFont"/>
    <w:uiPriority w:val="21"/>
    <w:qFormat/>
    <w:rsid w:val="00722016"/>
    <w:rPr>
      <w:i/>
      <w:iCs/>
      <w:color w:val="0F4761" w:themeColor="accent1" w:themeShade="BF"/>
    </w:rPr>
  </w:style>
  <w:style w:type="paragraph" w:styleId="IntenseQuote">
    <w:name w:val="Intense Quote"/>
    <w:basedOn w:val="Normal"/>
    <w:next w:val="Normal"/>
    <w:link w:val="IntenseQuoteChar"/>
    <w:uiPriority w:val="30"/>
    <w:qFormat/>
    <w:rsid w:val="00722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016"/>
    <w:rPr>
      <w:i/>
      <w:iCs/>
      <w:color w:val="0F4761" w:themeColor="accent1" w:themeShade="BF"/>
    </w:rPr>
  </w:style>
  <w:style w:type="character" w:styleId="IntenseReference">
    <w:name w:val="Intense Reference"/>
    <w:basedOn w:val="DefaultParagraphFont"/>
    <w:uiPriority w:val="32"/>
    <w:qFormat/>
    <w:rsid w:val="00722016"/>
    <w:rPr>
      <w:b/>
      <w:bCs/>
      <w:smallCaps/>
      <w:color w:val="0F4761" w:themeColor="accent1" w:themeShade="BF"/>
      <w:spacing w:val="5"/>
    </w:rPr>
  </w:style>
  <w:style w:type="character" w:styleId="Hyperlink">
    <w:name w:val="Hyperlink"/>
    <w:basedOn w:val="DefaultParagraphFont"/>
    <w:uiPriority w:val="99"/>
    <w:unhideWhenUsed/>
    <w:rsid w:val="00722016"/>
    <w:rPr>
      <w:color w:val="467886" w:themeColor="hyperlink"/>
      <w:u w:val="single"/>
    </w:rPr>
  </w:style>
  <w:style w:type="character" w:styleId="UnresolvedMention">
    <w:name w:val="Unresolved Mention"/>
    <w:basedOn w:val="DefaultParagraphFont"/>
    <w:uiPriority w:val="99"/>
    <w:semiHidden/>
    <w:unhideWhenUsed/>
    <w:rsid w:val="00722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414718">
      <w:bodyDiv w:val="1"/>
      <w:marLeft w:val="0"/>
      <w:marRight w:val="0"/>
      <w:marTop w:val="0"/>
      <w:marBottom w:val="0"/>
      <w:divBdr>
        <w:top w:val="none" w:sz="0" w:space="0" w:color="auto"/>
        <w:left w:val="none" w:sz="0" w:space="0" w:color="auto"/>
        <w:bottom w:val="none" w:sz="0" w:space="0" w:color="auto"/>
        <w:right w:val="none" w:sz="0" w:space="0" w:color="auto"/>
      </w:divBdr>
      <w:divsChild>
        <w:div w:id="854730950">
          <w:marLeft w:val="0"/>
          <w:marRight w:val="0"/>
          <w:marTop w:val="0"/>
          <w:marBottom w:val="160"/>
          <w:divBdr>
            <w:top w:val="none" w:sz="0" w:space="0" w:color="auto"/>
            <w:left w:val="none" w:sz="0" w:space="0" w:color="auto"/>
            <w:bottom w:val="none" w:sz="0" w:space="0" w:color="auto"/>
            <w:right w:val="none" w:sz="0" w:space="0" w:color="auto"/>
          </w:divBdr>
        </w:div>
        <w:div w:id="1268855668">
          <w:marLeft w:val="0"/>
          <w:marRight w:val="0"/>
          <w:marTop w:val="0"/>
          <w:marBottom w:val="160"/>
          <w:divBdr>
            <w:top w:val="none" w:sz="0" w:space="0" w:color="auto"/>
            <w:left w:val="none" w:sz="0" w:space="0" w:color="auto"/>
            <w:bottom w:val="none" w:sz="0" w:space="0" w:color="auto"/>
            <w:right w:val="none" w:sz="0" w:space="0" w:color="auto"/>
          </w:divBdr>
        </w:div>
        <w:div w:id="122583970">
          <w:marLeft w:val="0"/>
          <w:marRight w:val="0"/>
          <w:marTop w:val="0"/>
          <w:marBottom w:val="160"/>
          <w:divBdr>
            <w:top w:val="none" w:sz="0" w:space="0" w:color="auto"/>
            <w:left w:val="none" w:sz="0" w:space="0" w:color="auto"/>
            <w:bottom w:val="none" w:sz="0" w:space="0" w:color="auto"/>
            <w:right w:val="none" w:sz="0" w:space="0" w:color="auto"/>
          </w:divBdr>
        </w:div>
        <w:div w:id="408312145">
          <w:marLeft w:val="0"/>
          <w:marRight w:val="0"/>
          <w:marTop w:val="0"/>
          <w:marBottom w:val="160"/>
          <w:divBdr>
            <w:top w:val="none" w:sz="0" w:space="0" w:color="auto"/>
            <w:left w:val="none" w:sz="0" w:space="0" w:color="auto"/>
            <w:bottom w:val="none" w:sz="0" w:space="0" w:color="auto"/>
            <w:right w:val="none" w:sz="0" w:space="0" w:color="auto"/>
          </w:divBdr>
        </w:div>
        <w:div w:id="386997302">
          <w:marLeft w:val="0"/>
          <w:marRight w:val="0"/>
          <w:marTop w:val="0"/>
          <w:marBottom w:val="160"/>
          <w:divBdr>
            <w:top w:val="none" w:sz="0" w:space="0" w:color="auto"/>
            <w:left w:val="none" w:sz="0" w:space="0" w:color="auto"/>
            <w:bottom w:val="none" w:sz="0" w:space="0" w:color="auto"/>
            <w:right w:val="none" w:sz="0" w:space="0" w:color="auto"/>
          </w:divBdr>
        </w:div>
        <w:div w:id="1188711368">
          <w:marLeft w:val="0"/>
          <w:marRight w:val="0"/>
          <w:marTop w:val="0"/>
          <w:marBottom w:val="160"/>
          <w:divBdr>
            <w:top w:val="none" w:sz="0" w:space="0" w:color="auto"/>
            <w:left w:val="none" w:sz="0" w:space="0" w:color="auto"/>
            <w:bottom w:val="none" w:sz="0" w:space="0" w:color="auto"/>
            <w:right w:val="none" w:sz="0" w:space="0" w:color="auto"/>
          </w:divBdr>
        </w:div>
        <w:div w:id="1273317846">
          <w:marLeft w:val="0"/>
          <w:marRight w:val="0"/>
          <w:marTop w:val="0"/>
          <w:marBottom w:val="160"/>
          <w:divBdr>
            <w:top w:val="none" w:sz="0" w:space="0" w:color="auto"/>
            <w:left w:val="none" w:sz="0" w:space="0" w:color="auto"/>
            <w:bottom w:val="none" w:sz="0" w:space="0" w:color="auto"/>
            <w:right w:val="none" w:sz="0" w:space="0" w:color="auto"/>
          </w:divBdr>
        </w:div>
        <w:div w:id="833574469">
          <w:marLeft w:val="0"/>
          <w:marRight w:val="0"/>
          <w:marTop w:val="0"/>
          <w:marBottom w:val="160"/>
          <w:divBdr>
            <w:top w:val="none" w:sz="0" w:space="0" w:color="auto"/>
            <w:left w:val="none" w:sz="0" w:space="0" w:color="auto"/>
            <w:bottom w:val="none" w:sz="0" w:space="0" w:color="auto"/>
            <w:right w:val="none" w:sz="0" w:space="0" w:color="auto"/>
          </w:divBdr>
        </w:div>
        <w:div w:id="773285998">
          <w:marLeft w:val="0"/>
          <w:marRight w:val="0"/>
          <w:marTop w:val="0"/>
          <w:marBottom w:val="160"/>
          <w:divBdr>
            <w:top w:val="none" w:sz="0" w:space="0" w:color="auto"/>
            <w:left w:val="none" w:sz="0" w:space="0" w:color="auto"/>
            <w:bottom w:val="none" w:sz="0" w:space="0" w:color="auto"/>
            <w:right w:val="none" w:sz="0" w:space="0" w:color="auto"/>
          </w:divBdr>
        </w:div>
        <w:div w:id="1506284406">
          <w:marLeft w:val="0"/>
          <w:marRight w:val="0"/>
          <w:marTop w:val="0"/>
          <w:marBottom w:val="160"/>
          <w:divBdr>
            <w:top w:val="none" w:sz="0" w:space="0" w:color="auto"/>
            <w:left w:val="none" w:sz="0" w:space="0" w:color="auto"/>
            <w:bottom w:val="none" w:sz="0" w:space="0" w:color="auto"/>
            <w:right w:val="none" w:sz="0" w:space="0" w:color="auto"/>
          </w:divBdr>
        </w:div>
        <w:div w:id="609631948">
          <w:marLeft w:val="0"/>
          <w:marRight w:val="0"/>
          <w:marTop w:val="0"/>
          <w:marBottom w:val="160"/>
          <w:divBdr>
            <w:top w:val="none" w:sz="0" w:space="0" w:color="auto"/>
            <w:left w:val="none" w:sz="0" w:space="0" w:color="auto"/>
            <w:bottom w:val="none" w:sz="0" w:space="0" w:color="auto"/>
            <w:right w:val="none" w:sz="0" w:space="0" w:color="auto"/>
          </w:divBdr>
        </w:div>
        <w:div w:id="1311205285">
          <w:marLeft w:val="0"/>
          <w:marRight w:val="0"/>
          <w:marTop w:val="0"/>
          <w:marBottom w:val="160"/>
          <w:divBdr>
            <w:top w:val="none" w:sz="0" w:space="0" w:color="auto"/>
            <w:left w:val="none" w:sz="0" w:space="0" w:color="auto"/>
            <w:bottom w:val="none" w:sz="0" w:space="0" w:color="auto"/>
            <w:right w:val="none" w:sz="0" w:space="0" w:color="auto"/>
          </w:divBdr>
        </w:div>
        <w:div w:id="1898123483">
          <w:marLeft w:val="0"/>
          <w:marRight w:val="0"/>
          <w:marTop w:val="0"/>
          <w:marBottom w:val="160"/>
          <w:divBdr>
            <w:top w:val="none" w:sz="0" w:space="0" w:color="auto"/>
            <w:left w:val="none" w:sz="0" w:space="0" w:color="auto"/>
            <w:bottom w:val="none" w:sz="0" w:space="0" w:color="auto"/>
            <w:right w:val="none" w:sz="0" w:space="0" w:color="auto"/>
          </w:divBdr>
        </w:div>
        <w:div w:id="1263731064">
          <w:marLeft w:val="0"/>
          <w:marRight w:val="0"/>
          <w:marTop w:val="0"/>
          <w:marBottom w:val="160"/>
          <w:divBdr>
            <w:top w:val="none" w:sz="0" w:space="0" w:color="auto"/>
            <w:left w:val="none" w:sz="0" w:space="0" w:color="auto"/>
            <w:bottom w:val="none" w:sz="0" w:space="0" w:color="auto"/>
            <w:right w:val="none" w:sz="0" w:space="0" w:color="auto"/>
          </w:divBdr>
        </w:div>
        <w:div w:id="1988317233">
          <w:marLeft w:val="0"/>
          <w:marRight w:val="0"/>
          <w:marTop w:val="0"/>
          <w:marBottom w:val="160"/>
          <w:divBdr>
            <w:top w:val="none" w:sz="0" w:space="0" w:color="auto"/>
            <w:left w:val="none" w:sz="0" w:space="0" w:color="auto"/>
            <w:bottom w:val="none" w:sz="0" w:space="0" w:color="auto"/>
            <w:right w:val="none" w:sz="0" w:space="0" w:color="auto"/>
          </w:divBdr>
        </w:div>
        <w:div w:id="2125685730">
          <w:marLeft w:val="0"/>
          <w:marRight w:val="0"/>
          <w:marTop w:val="0"/>
          <w:marBottom w:val="160"/>
          <w:divBdr>
            <w:top w:val="none" w:sz="0" w:space="0" w:color="auto"/>
            <w:left w:val="none" w:sz="0" w:space="0" w:color="auto"/>
            <w:bottom w:val="none" w:sz="0" w:space="0" w:color="auto"/>
            <w:right w:val="none" w:sz="0" w:space="0" w:color="auto"/>
          </w:divBdr>
        </w:div>
        <w:div w:id="1184052825">
          <w:marLeft w:val="0"/>
          <w:marRight w:val="0"/>
          <w:marTop w:val="0"/>
          <w:marBottom w:val="160"/>
          <w:divBdr>
            <w:top w:val="none" w:sz="0" w:space="0" w:color="auto"/>
            <w:left w:val="none" w:sz="0" w:space="0" w:color="auto"/>
            <w:bottom w:val="none" w:sz="0" w:space="0" w:color="auto"/>
            <w:right w:val="none" w:sz="0" w:space="0" w:color="auto"/>
          </w:divBdr>
        </w:div>
        <w:div w:id="481778221">
          <w:marLeft w:val="0"/>
          <w:marRight w:val="0"/>
          <w:marTop w:val="0"/>
          <w:marBottom w:val="160"/>
          <w:divBdr>
            <w:top w:val="none" w:sz="0" w:space="0" w:color="auto"/>
            <w:left w:val="none" w:sz="0" w:space="0" w:color="auto"/>
            <w:bottom w:val="none" w:sz="0" w:space="0" w:color="auto"/>
            <w:right w:val="none" w:sz="0" w:space="0" w:color="auto"/>
          </w:divBdr>
        </w:div>
        <w:div w:id="224804535">
          <w:marLeft w:val="0"/>
          <w:marRight w:val="0"/>
          <w:marTop w:val="0"/>
          <w:marBottom w:val="160"/>
          <w:divBdr>
            <w:top w:val="none" w:sz="0" w:space="0" w:color="auto"/>
            <w:left w:val="none" w:sz="0" w:space="0" w:color="auto"/>
            <w:bottom w:val="none" w:sz="0" w:space="0" w:color="auto"/>
            <w:right w:val="none" w:sz="0" w:space="0" w:color="auto"/>
          </w:divBdr>
        </w:div>
        <w:div w:id="317879226">
          <w:marLeft w:val="0"/>
          <w:marRight w:val="0"/>
          <w:marTop w:val="0"/>
          <w:marBottom w:val="160"/>
          <w:divBdr>
            <w:top w:val="none" w:sz="0" w:space="0" w:color="auto"/>
            <w:left w:val="none" w:sz="0" w:space="0" w:color="auto"/>
            <w:bottom w:val="none" w:sz="0" w:space="0" w:color="auto"/>
            <w:right w:val="none" w:sz="0" w:space="0" w:color="auto"/>
          </w:divBdr>
        </w:div>
        <w:div w:id="1238400916">
          <w:marLeft w:val="0"/>
          <w:marRight w:val="0"/>
          <w:marTop w:val="0"/>
          <w:marBottom w:val="160"/>
          <w:divBdr>
            <w:top w:val="none" w:sz="0" w:space="0" w:color="auto"/>
            <w:left w:val="none" w:sz="0" w:space="0" w:color="auto"/>
            <w:bottom w:val="none" w:sz="0" w:space="0" w:color="auto"/>
            <w:right w:val="none" w:sz="0" w:space="0" w:color="auto"/>
          </w:divBdr>
        </w:div>
        <w:div w:id="1539706877">
          <w:marLeft w:val="0"/>
          <w:marRight w:val="0"/>
          <w:marTop w:val="0"/>
          <w:marBottom w:val="160"/>
          <w:divBdr>
            <w:top w:val="none" w:sz="0" w:space="0" w:color="auto"/>
            <w:left w:val="none" w:sz="0" w:space="0" w:color="auto"/>
            <w:bottom w:val="none" w:sz="0" w:space="0" w:color="auto"/>
            <w:right w:val="none" w:sz="0" w:space="0" w:color="auto"/>
          </w:divBdr>
        </w:div>
        <w:div w:id="470055368">
          <w:marLeft w:val="0"/>
          <w:marRight w:val="0"/>
          <w:marTop w:val="0"/>
          <w:marBottom w:val="160"/>
          <w:divBdr>
            <w:top w:val="none" w:sz="0" w:space="0" w:color="auto"/>
            <w:left w:val="none" w:sz="0" w:space="0" w:color="auto"/>
            <w:bottom w:val="none" w:sz="0" w:space="0" w:color="auto"/>
            <w:right w:val="none" w:sz="0" w:space="0" w:color="auto"/>
          </w:divBdr>
        </w:div>
        <w:div w:id="2118286022">
          <w:marLeft w:val="0"/>
          <w:marRight w:val="0"/>
          <w:marTop w:val="0"/>
          <w:marBottom w:val="160"/>
          <w:divBdr>
            <w:top w:val="none" w:sz="0" w:space="0" w:color="auto"/>
            <w:left w:val="none" w:sz="0" w:space="0" w:color="auto"/>
            <w:bottom w:val="none" w:sz="0" w:space="0" w:color="auto"/>
            <w:right w:val="none" w:sz="0" w:space="0" w:color="auto"/>
          </w:divBdr>
        </w:div>
        <w:div w:id="767434822">
          <w:marLeft w:val="0"/>
          <w:marRight w:val="0"/>
          <w:marTop w:val="0"/>
          <w:marBottom w:val="160"/>
          <w:divBdr>
            <w:top w:val="none" w:sz="0" w:space="0" w:color="auto"/>
            <w:left w:val="none" w:sz="0" w:space="0" w:color="auto"/>
            <w:bottom w:val="none" w:sz="0" w:space="0" w:color="auto"/>
            <w:right w:val="none" w:sz="0" w:space="0" w:color="auto"/>
          </w:divBdr>
        </w:div>
        <w:div w:id="1040589754">
          <w:marLeft w:val="0"/>
          <w:marRight w:val="0"/>
          <w:marTop w:val="0"/>
          <w:marBottom w:val="160"/>
          <w:divBdr>
            <w:top w:val="none" w:sz="0" w:space="0" w:color="auto"/>
            <w:left w:val="none" w:sz="0" w:space="0" w:color="auto"/>
            <w:bottom w:val="none" w:sz="0" w:space="0" w:color="auto"/>
            <w:right w:val="none" w:sz="0" w:space="0" w:color="auto"/>
          </w:divBdr>
        </w:div>
        <w:div w:id="683478464">
          <w:marLeft w:val="0"/>
          <w:marRight w:val="0"/>
          <w:marTop w:val="0"/>
          <w:marBottom w:val="160"/>
          <w:divBdr>
            <w:top w:val="none" w:sz="0" w:space="0" w:color="auto"/>
            <w:left w:val="none" w:sz="0" w:space="0" w:color="auto"/>
            <w:bottom w:val="none" w:sz="0" w:space="0" w:color="auto"/>
            <w:right w:val="none" w:sz="0" w:space="0" w:color="auto"/>
          </w:divBdr>
        </w:div>
        <w:div w:id="316808204">
          <w:marLeft w:val="0"/>
          <w:marRight w:val="0"/>
          <w:marTop w:val="0"/>
          <w:marBottom w:val="160"/>
          <w:divBdr>
            <w:top w:val="none" w:sz="0" w:space="0" w:color="auto"/>
            <w:left w:val="none" w:sz="0" w:space="0" w:color="auto"/>
            <w:bottom w:val="none" w:sz="0" w:space="0" w:color="auto"/>
            <w:right w:val="none" w:sz="0" w:space="0" w:color="auto"/>
          </w:divBdr>
        </w:div>
        <w:div w:id="2058386249">
          <w:marLeft w:val="0"/>
          <w:marRight w:val="0"/>
          <w:marTop w:val="0"/>
          <w:marBottom w:val="160"/>
          <w:divBdr>
            <w:top w:val="none" w:sz="0" w:space="0" w:color="auto"/>
            <w:left w:val="none" w:sz="0" w:space="0" w:color="auto"/>
            <w:bottom w:val="none" w:sz="0" w:space="0" w:color="auto"/>
            <w:right w:val="none" w:sz="0" w:space="0" w:color="auto"/>
          </w:divBdr>
        </w:div>
        <w:div w:id="1130200446">
          <w:marLeft w:val="0"/>
          <w:marRight w:val="0"/>
          <w:marTop w:val="0"/>
          <w:marBottom w:val="160"/>
          <w:divBdr>
            <w:top w:val="none" w:sz="0" w:space="0" w:color="auto"/>
            <w:left w:val="none" w:sz="0" w:space="0" w:color="auto"/>
            <w:bottom w:val="none" w:sz="0" w:space="0" w:color="auto"/>
            <w:right w:val="none" w:sz="0" w:space="0" w:color="auto"/>
          </w:divBdr>
        </w:div>
        <w:div w:id="159784369">
          <w:marLeft w:val="0"/>
          <w:marRight w:val="0"/>
          <w:marTop w:val="0"/>
          <w:marBottom w:val="160"/>
          <w:divBdr>
            <w:top w:val="none" w:sz="0" w:space="0" w:color="auto"/>
            <w:left w:val="none" w:sz="0" w:space="0" w:color="auto"/>
            <w:bottom w:val="none" w:sz="0" w:space="0" w:color="auto"/>
            <w:right w:val="none" w:sz="0" w:space="0" w:color="auto"/>
          </w:divBdr>
        </w:div>
      </w:divsChild>
    </w:div>
    <w:div w:id="607546932">
      <w:bodyDiv w:val="1"/>
      <w:marLeft w:val="0"/>
      <w:marRight w:val="0"/>
      <w:marTop w:val="0"/>
      <w:marBottom w:val="0"/>
      <w:divBdr>
        <w:top w:val="none" w:sz="0" w:space="0" w:color="auto"/>
        <w:left w:val="none" w:sz="0" w:space="0" w:color="auto"/>
        <w:bottom w:val="none" w:sz="0" w:space="0" w:color="auto"/>
        <w:right w:val="none" w:sz="0" w:space="0" w:color="auto"/>
      </w:divBdr>
      <w:divsChild>
        <w:div w:id="216597065">
          <w:marLeft w:val="0"/>
          <w:marRight w:val="0"/>
          <w:marTop w:val="0"/>
          <w:marBottom w:val="160"/>
          <w:divBdr>
            <w:top w:val="none" w:sz="0" w:space="0" w:color="auto"/>
            <w:left w:val="none" w:sz="0" w:space="0" w:color="auto"/>
            <w:bottom w:val="none" w:sz="0" w:space="0" w:color="auto"/>
            <w:right w:val="none" w:sz="0" w:space="0" w:color="auto"/>
          </w:divBdr>
        </w:div>
        <w:div w:id="827865925">
          <w:marLeft w:val="0"/>
          <w:marRight w:val="0"/>
          <w:marTop w:val="0"/>
          <w:marBottom w:val="160"/>
          <w:divBdr>
            <w:top w:val="none" w:sz="0" w:space="0" w:color="auto"/>
            <w:left w:val="none" w:sz="0" w:space="0" w:color="auto"/>
            <w:bottom w:val="none" w:sz="0" w:space="0" w:color="auto"/>
            <w:right w:val="none" w:sz="0" w:space="0" w:color="auto"/>
          </w:divBdr>
        </w:div>
        <w:div w:id="1456020226">
          <w:marLeft w:val="0"/>
          <w:marRight w:val="0"/>
          <w:marTop w:val="0"/>
          <w:marBottom w:val="160"/>
          <w:divBdr>
            <w:top w:val="none" w:sz="0" w:space="0" w:color="auto"/>
            <w:left w:val="none" w:sz="0" w:space="0" w:color="auto"/>
            <w:bottom w:val="none" w:sz="0" w:space="0" w:color="auto"/>
            <w:right w:val="none" w:sz="0" w:space="0" w:color="auto"/>
          </w:divBdr>
        </w:div>
        <w:div w:id="1030688043">
          <w:marLeft w:val="0"/>
          <w:marRight w:val="0"/>
          <w:marTop w:val="0"/>
          <w:marBottom w:val="160"/>
          <w:divBdr>
            <w:top w:val="none" w:sz="0" w:space="0" w:color="auto"/>
            <w:left w:val="none" w:sz="0" w:space="0" w:color="auto"/>
            <w:bottom w:val="none" w:sz="0" w:space="0" w:color="auto"/>
            <w:right w:val="none" w:sz="0" w:space="0" w:color="auto"/>
          </w:divBdr>
        </w:div>
        <w:div w:id="780565153">
          <w:marLeft w:val="0"/>
          <w:marRight w:val="0"/>
          <w:marTop w:val="0"/>
          <w:marBottom w:val="160"/>
          <w:divBdr>
            <w:top w:val="none" w:sz="0" w:space="0" w:color="auto"/>
            <w:left w:val="none" w:sz="0" w:space="0" w:color="auto"/>
            <w:bottom w:val="none" w:sz="0" w:space="0" w:color="auto"/>
            <w:right w:val="none" w:sz="0" w:space="0" w:color="auto"/>
          </w:divBdr>
        </w:div>
        <w:div w:id="417557438">
          <w:marLeft w:val="0"/>
          <w:marRight w:val="0"/>
          <w:marTop w:val="0"/>
          <w:marBottom w:val="160"/>
          <w:divBdr>
            <w:top w:val="none" w:sz="0" w:space="0" w:color="auto"/>
            <w:left w:val="none" w:sz="0" w:space="0" w:color="auto"/>
            <w:bottom w:val="none" w:sz="0" w:space="0" w:color="auto"/>
            <w:right w:val="none" w:sz="0" w:space="0" w:color="auto"/>
          </w:divBdr>
        </w:div>
        <w:div w:id="305672206">
          <w:marLeft w:val="0"/>
          <w:marRight w:val="0"/>
          <w:marTop w:val="0"/>
          <w:marBottom w:val="160"/>
          <w:divBdr>
            <w:top w:val="none" w:sz="0" w:space="0" w:color="auto"/>
            <w:left w:val="none" w:sz="0" w:space="0" w:color="auto"/>
            <w:bottom w:val="none" w:sz="0" w:space="0" w:color="auto"/>
            <w:right w:val="none" w:sz="0" w:space="0" w:color="auto"/>
          </w:divBdr>
        </w:div>
        <w:div w:id="695349313">
          <w:marLeft w:val="0"/>
          <w:marRight w:val="0"/>
          <w:marTop w:val="0"/>
          <w:marBottom w:val="160"/>
          <w:divBdr>
            <w:top w:val="none" w:sz="0" w:space="0" w:color="auto"/>
            <w:left w:val="none" w:sz="0" w:space="0" w:color="auto"/>
            <w:bottom w:val="none" w:sz="0" w:space="0" w:color="auto"/>
            <w:right w:val="none" w:sz="0" w:space="0" w:color="auto"/>
          </w:divBdr>
        </w:div>
        <w:div w:id="1157919144">
          <w:marLeft w:val="0"/>
          <w:marRight w:val="0"/>
          <w:marTop w:val="0"/>
          <w:marBottom w:val="160"/>
          <w:divBdr>
            <w:top w:val="none" w:sz="0" w:space="0" w:color="auto"/>
            <w:left w:val="none" w:sz="0" w:space="0" w:color="auto"/>
            <w:bottom w:val="none" w:sz="0" w:space="0" w:color="auto"/>
            <w:right w:val="none" w:sz="0" w:space="0" w:color="auto"/>
          </w:divBdr>
        </w:div>
        <w:div w:id="1801267835">
          <w:marLeft w:val="0"/>
          <w:marRight w:val="0"/>
          <w:marTop w:val="0"/>
          <w:marBottom w:val="160"/>
          <w:divBdr>
            <w:top w:val="none" w:sz="0" w:space="0" w:color="auto"/>
            <w:left w:val="none" w:sz="0" w:space="0" w:color="auto"/>
            <w:bottom w:val="none" w:sz="0" w:space="0" w:color="auto"/>
            <w:right w:val="none" w:sz="0" w:space="0" w:color="auto"/>
          </w:divBdr>
        </w:div>
        <w:div w:id="1433239279">
          <w:marLeft w:val="0"/>
          <w:marRight w:val="0"/>
          <w:marTop w:val="0"/>
          <w:marBottom w:val="160"/>
          <w:divBdr>
            <w:top w:val="none" w:sz="0" w:space="0" w:color="auto"/>
            <w:left w:val="none" w:sz="0" w:space="0" w:color="auto"/>
            <w:bottom w:val="none" w:sz="0" w:space="0" w:color="auto"/>
            <w:right w:val="none" w:sz="0" w:space="0" w:color="auto"/>
          </w:divBdr>
        </w:div>
        <w:div w:id="1745488702">
          <w:marLeft w:val="0"/>
          <w:marRight w:val="0"/>
          <w:marTop w:val="0"/>
          <w:marBottom w:val="160"/>
          <w:divBdr>
            <w:top w:val="none" w:sz="0" w:space="0" w:color="auto"/>
            <w:left w:val="none" w:sz="0" w:space="0" w:color="auto"/>
            <w:bottom w:val="none" w:sz="0" w:space="0" w:color="auto"/>
            <w:right w:val="none" w:sz="0" w:space="0" w:color="auto"/>
          </w:divBdr>
        </w:div>
        <w:div w:id="1031422017">
          <w:marLeft w:val="0"/>
          <w:marRight w:val="0"/>
          <w:marTop w:val="0"/>
          <w:marBottom w:val="160"/>
          <w:divBdr>
            <w:top w:val="none" w:sz="0" w:space="0" w:color="auto"/>
            <w:left w:val="none" w:sz="0" w:space="0" w:color="auto"/>
            <w:bottom w:val="none" w:sz="0" w:space="0" w:color="auto"/>
            <w:right w:val="none" w:sz="0" w:space="0" w:color="auto"/>
          </w:divBdr>
        </w:div>
        <w:div w:id="2014184589">
          <w:marLeft w:val="0"/>
          <w:marRight w:val="0"/>
          <w:marTop w:val="0"/>
          <w:marBottom w:val="160"/>
          <w:divBdr>
            <w:top w:val="none" w:sz="0" w:space="0" w:color="auto"/>
            <w:left w:val="none" w:sz="0" w:space="0" w:color="auto"/>
            <w:bottom w:val="none" w:sz="0" w:space="0" w:color="auto"/>
            <w:right w:val="none" w:sz="0" w:space="0" w:color="auto"/>
          </w:divBdr>
        </w:div>
        <w:div w:id="1673025366">
          <w:marLeft w:val="0"/>
          <w:marRight w:val="0"/>
          <w:marTop w:val="0"/>
          <w:marBottom w:val="160"/>
          <w:divBdr>
            <w:top w:val="none" w:sz="0" w:space="0" w:color="auto"/>
            <w:left w:val="none" w:sz="0" w:space="0" w:color="auto"/>
            <w:bottom w:val="none" w:sz="0" w:space="0" w:color="auto"/>
            <w:right w:val="none" w:sz="0" w:space="0" w:color="auto"/>
          </w:divBdr>
        </w:div>
        <w:div w:id="1778713319">
          <w:marLeft w:val="0"/>
          <w:marRight w:val="0"/>
          <w:marTop w:val="0"/>
          <w:marBottom w:val="160"/>
          <w:divBdr>
            <w:top w:val="none" w:sz="0" w:space="0" w:color="auto"/>
            <w:left w:val="none" w:sz="0" w:space="0" w:color="auto"/>
            <w:bottom w:val="none" w:sz="0" w:space="0" w:color="auto"/>
            <w:right w:val="none" w:sz="0" w:space="0" w:color="auto"/>
          </w:divBdr>
        </w:div>
        <w:div w:id="1847623499">
          <w:marLeft w:val="0"/>
          <w:marRight w:val="0"/>
          <w:marTop w:val="0"/>
          <w:marBottom w:val="160"/>
          <w:divBdr>
            <w:top w:val="none" w:sz="0" w:space="0" w:color="auto"/>
            <w:left w:val="none" w:sz="0" w:space="0" w:color="auto"/>
            <w:bottom w:val="none" w:sz="0" w:space="0" w:color="auto"/>
            <w:right w:val="none" w:sz="0" w:space="0" w:color="auto"/>
          </w:divBdr>
        </w:div>
        <w:div w:id="143402019">
          <w:marLeft w:val="0"/>
          <w:marRight w:val="0"/>
          <w:marTop w:val="0"/>
          <w:marBottom w:val="160"/>
          <w:divBdr>
            <w:top w:val="none" w:sz="0" w:space="0" w:color="auto"/>
            <w:left w:val="none" w:sz="0" w:space="0" w:color="auto"/>
            <w:bottom w:val="none" w:sz="0" w:space="0" w:color="auto"/>
            <w:right w:val="none" w:sz="0" w:space="0" w:color="auto"/>
          </w:divBdr>
        </w:div>
        <w:div w:id="1562985278">
          <w:marLeft w:val="0"/>
          <w:marRight w:val="0"/>
          <w:marTop w:val="0"/>
          <w:marBottom w:val="160"/>
          <w:divBdr>
            <w:top w:val="none" w:sz="0" w:space="0" w:color="auto"/>
            <w:left w:val="none" w:sz="0" w:space="0" w:color="auto"/>
            <w:bottom w:val="none" w:sz="0" w:space="0" w:color="auto"/>
            <w:right w:val="none" w:sz="0" w:space="0" w:color="auto"/>
          </w:divBdr>
        </w:div>
        <w:div w:id="740255351">
          <w:marLeft w:val="0"/>
          <w:marRight w:val="0"/>
          <w:marTop w:val="0"/>
          <w:marBottom w:val="160"/>
          <w:divBdr>
            <w:top w:val="none" w:sz="0" w:space="0" w:color="auto"/>
            <w:left w:val="none" w:sz="0" w:space="0" w:color="auto"/>
            <w:bottom w:val="none" w:sz="0" w:space="0" w:color="auto"/>
            <w:right w:val="none" w:sz="0" w:space="0" w:color="auto"/>
          </w:divBdr>
        </w:div>
        <w:div w:id="2026009487">
          <w:marLeft w:val="0"/>
          <w:marRight w:val="0"/>
          <w:marTop w:val="0"/>
          <w:marBottom w:val="160"/>
          <w:divBdr>
            <w:top w:val="none" w:sz="0" w:space="0" w:color="auto"/>
            <w:left w:val="none" w:sz="0" w:space="0" w:color="auto"/>
            <w:bottom w:val="none" w:sz="0" w:space="0" w:color="auto"/>
            <w:right w:val="none" w:sz="0" w:space="0" w:color="auto"/>
          </w:divBdr>
        </w:div>
        <w:div w:id="1186670334">
          <w:marLeft w:val="0"/>
          <w:marRight w:val="0"/>
          <w:marTop w:val="0"/>
          <w:marBottom w:val="160"/>
          <w:divBdr>
            <w:top w:val="none" w:sz="0" w:space="0" w:color="auto"/>
            <w:left w:val="none" w:sz="0" w:space="0" w:color="auto"/>
            <w:bottom w:val="none" w:sz="0" w:space="0" w:color="auto"/>
            <w:right w:val="none" w:sz="0" w:space="0" w:color="auto"/>
          </w:divBdr>
        </w:div>
        <w:div w:id="1014962242">
          <w:marLeft w:val="0"/>
          <w:marRight w:val="0"/>
          <w:marTop w:val="0"/>
          <w:marBottom w:val="160"/>
          <w:divBdr>
            <w:top w:val="none" w:sz="0" w:space="0" w:color="auto"/>
            <w:left w:val="none" w:sz="0" w:space="0" w:color="auto"/>
            <w:bottom w:val="none" w:sz="0" w:space="0" w:color="auto"/>
            <w:right w:val="none" w:sz="0" w:space="0" w:color="auto"/>
          </w:divBdr>
        </w:div>
        <w:div w:id="1858544256">
          <w:marLeft w:val="0"/>
          <w:marRight w:val="0"/>
          <w:marTop w:val="0"/>
          <w:marBottom w:val="160"/>
          <w:divBdr>
            <w:top w:val="none" w:sz="0" w:space="0" w:color="auto"/>
            <w:left w:val="none" w:sz="0" w:space="0" w:color="auto"/>
            <w:bottom w:val="none" w:sz="0" w:space="0" w:color="auto"/>
            <w:right w:val="none" w:sz="0" w:space="0" w:color="auto"/>
          </w:divBdr>
        </w:div>
        <w:div w:id="209728577">
          <w:marLeft w:val="0"/>
          <w:marRight w:val="0"/>
          <w:marTop w:val="0"/>
          <w:marBottom w:val="160"/>
          <w:divBdr>
            <w:top w:val="none" w:sz="0" w:space="0" w:color="auto"/>
            <w:left w:val="none" w:sz="0" w:space="0" w:color="auto"/>
            <w:bottom w:val="none" w:sz="0" w:space="0" w:color="auto"/>
            <w:right w:val="none" w:sz="0" w:space="0" w:color="auto"/>
          </w:divBdr>
        </w:div>
        <w:div w:id="727996339">
          <w:marLeft w:val="0"/>
          <w:marRight w:val="0"/>
          <w:marTop w:val="0"/>
          <w:marBottom w:val="160"/>
          <w:divBdr>
            <w:top w:val="none" w:sz="0" w:space="0" w:color="auto"/>
            <w:left w:val="none" w:sz="0" w:space="0" w:color="auto"/>
            <w:bottom w:val="none" w:sz="0" w:space="0" w:color="auto"/>
            <w:right w:val="none" w:sz="0" w:space="0" w:color="auto"/>
          </w:divBdr>
        </w:div>
        <w:div w:id="2116361228">
          <w:marLeft w:val="0"/>
          <w:marRight w:val="0"/>
          <w:marTop w:val="0"/>
          <w:marBottom w:val="160"/>
          <w:divBdr>
            <w:top w:val="none" w:sz="0" w:space="0" w:color="auto"/>
            <w:left w:val="none" w:sz="0" w:space="0" w:color="auto"/>
            <w:bottom w:val="none" w:sz="0" w:space="0" w:color="auto"/>
            <w:right w:val="none" w:sz="0" w:space="0" w:color="auto"/>
          </w:divBdr>
        </w:div>
        <w:div w:id="25913929">
          <w:marLeft w:val="0"/>
          <w:marRight w:val="0"/>
          <w:marTop w:val="0"/>
          <w:marBottom w:val="160"/>
          <w:divBdr>
            <w:top w:val="none" w:sz="0" w:space="0" w:color="auto"/>
            <w:left w:val="none" w:sz="0" w:space="0" w:color="auto"/>
            <w:bottom w:val="none" w:sz="0" w:space="0" w:color="auto"/>
            <w:right w:val="none" w:sz="0" w:space="0" w:color="auto"/>
          </w:divBdr>
        </w:div>
        <w:div w:id="534929183">
          <w:marLeft w:val="0"/>
          <w:marRight w:val="0"/>
          <w:marTop w:val="0"/>
          <w:marBottom w:val="160"/>
          <w:divBdr>
            <w:top w:val="none" w:sz="0" w:space="0" w:color="auto"/>
            <w:left w:val="none" w:sz="0" w:space="0" w:color="auto"/>
            <w:bottom w:val="none" w:sz="0" w:space="0" w:color="auto"/>
            <w:right w:val="none" w:sz="0" w:space="0" w:color="auto"/>
          </w:divBdr>
        </w:div>
        <w:div w:id="1044528590">
          <w:marLeft w:val="0"/>
          <w:marRight w:val="0"/>
          <w:marTop w:val="0"/>
          <w:marBottom w:val="160"/>
          <w:divBdr>
            <w:top w:val="none" w:sz="0" w:space="0" w:color="auto"/>
            <w:left w:val="none" w:sz="0" w:space="0" w:color="auto"/>
            <w:bottom w:val="none" w:sz="0" w:space="0" w:color="auto"/>
            <w:right w:val="none" w:sz="0" w:space="0" w:color="auto"/>
          </w:divBdr>
        </w:div>
        <w:div w:id="153349063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intune/intune-service/enrollment/enrollment-restrictions-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Mark</dc:creator>
  <cp:keywords/>
  <dc:description/>
  <cp:lastModifiedBy>Orr, Mark</cp:lastModifiedBy>
  <cp:revision>2</cp:revision>
  <dcterms:created xsi:type="dcterms:W3CDTF">2025-09-15T10:26:00Z</dcterms:created>
  <dcterms:modified xsi:type="dcterms:W3CDTF">2025-09-15T10:26:00Z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2025-09-15T10:25:45Z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b5a5c657-a4c9-4b11-9b2a-a71eb7ca9433</vt:lpwstr>
  </property>
  <property fmtid="{D5CDD505-2E9C-101B-9397-08002B2CF9AE}" pid="7" name="MSIP_Label_defa4170-0d19-0005-0004-bc88714345d2_ActionId">
    <vt:lpwstr>6be4f75e-061d-4fd7-84cc-0b3ee509b15f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