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120"/>
        <w:jc w:val="center"/>
      </w:pPr>
      <w:r>
        <w:rPr>
          <w:rFonts w:ascii="Arial" w:cs="Arial" w:eastAsia="Arial" w:hAnsi="Arial"/>
          <w:b/>
          <w:bCs/>
          <w:color w:val="264C35"/>
          <w:sz w:val="56"/>
          <w:szCs w:val="56"/>
        </w:rPr>
        <w:t xml:space="preserve">ARBOR HEALTH</w:t>
      </w:r>
    </w:p>
    <w:p>
      <w:pPr>
        <w:spacing w:after="600"/>
        <w:jc w:val="center"/>
      </w:pPr>
      <w:r>
        <w:rPr>
          <w:i/>
          <w:iCs/>
          <w:color w:val="B58A3E"/>
          <w:sz w:val="28"/>
          <w:szCs w:val="28"/>
        </w:rPr>
        <w:t xml:space="preserve">Functional Medicine &amp; Psychiatry</w:t>
      </w:r>
    </w:p>
    <w:p>
      <w:pPr>
        <w:spacing w:after="80"/>
        <w:jc w:val="center"/>
      </w:pPr>
      <w:r>
        <w:rPr>
          <w:b/>
          <w:bCs/>
          <w:color w:val="1C241E"/>
          <w:sz w:val="48"/>
          <w:szCs w:val="48"/>
        </w:rPr>
        <w:t xml:space="preserve">Social Media Audit</w:t>
      </w:r>
    </w:p>
    <w:p>
      <w:pPr>
        <w:spacing w:after="800"/>
        <w:jc w:val="center"/>
      </w:pPr>
      <w:r>
        <w:rPr>
          <w:b/>
          <w:bCs/>
          <w:color w:val="1C241E"/>
          <w:sz w:val="48"/>
          <w:szCs w:val="48"/>
        </w:rPr>
        <w:t xml:space="preserve">and Strategic Recommendations</w:t>
      </w:r>
    </w:p>
    <w:p>
      <w:pPr>
        <w:pBdr>
          <w:top w:val="single" w:color="B58A3E" w:sz="6" w:space="8"/>
          <w:bottom w:val="single" w:color="B58A3E" w:sz="6" w:space="8"/>
        </w:pBdr>
        <w:spacing w:after="200" w:before="200"/>
        <w:jc w:val="center"/>
      </w:pPr>
      <w:r>
        <w:rPr>
          <w:color w:val="1C241E"/>
          <w:sz w:val="24"/>
          <w:szCs w:val="24"/>
        </w:rPr>
        <w:t xml:space="preserve">Prepared for Amber Ratcliffe and Meg Burton Tudman</w:t>
      </w:r>
    </w:p>
    <w:p>
      <w:pPr>
        <w:spacing w:after="80"/>
        <w:jc w:val="center"/>
      </w:pPr>
      <w:r>
        <w:rPr>
          <w:color w:val="5A6B5E"/>
          <w:sz w:val="20"/>
          <w:szCs w:val="20"/>
        </w:rPr>
        <w:t xml:space="preserve">Based on live Meta Business Suite Insights, May 17, 2026</w:t>
      </w:r>
    </w:p>
    <w:p>
      <w:pPr>
        <w:jc w:val="center"/>
      </w:pPr>
      <w:r>
        <w:rPr>
          <w:color w:val="5A6B5E"/>
          <w:sz w:val="22"/>
          <w:szCs w:val="22"/>
        </w:rPr>
        <w:t xml:space="preserve">Prepared by Mark Osabel, eGrowth Systems</w:t>
      </w:r>
    </w:p>
    <w:p>
      <w:r>
        <w:br w:type="page"/>
      </w:r>
    </w:p>
    <w:p>
      <w:pPr>
        <w:pStyle w:val="Heading1"/>
        <w:spacing w:after="200" w:before="360"/>
      </w:pPr>
      <w:r>
        <w:rPr>
          <w:b/>
          <w:bCs/>
          <w:color w:val="264C35"/>
        </w:rPr>
        <w:t xml:space="preserve">Executive Summary</w:t>
      </w:r>
    </w:p>
    <w:p>
      <w:pPr>
        <w:spacing w:after="140" w:line="300"/>
      </w:pPr>
      <w:r>
        <w:rPr>
          <w:color w:val="1C241E"/>
        </w:rPr>
        <w:t xml:space="preserve">Arbor Health has built one of the strongest functional medicine and psychiatry practices in upstate New York, with a 98 percent referral rate and a credentialed clinical team. The paid Facebook funnel produces leads at $5 to $7 cost per lead. The blog is the kind of authority resource families search for when they finally start asking the right questions.</w:t>
      </w:r>
    </w:p>
    <w:p>
      <w:pPr>
        <w:spacing w:after="140" w:line="300"/>
      </w:pPr>
      <w:r>
        <w:rPr>
          <w:color w:val="1C241E"/>
        </w:rPr>
        <w:t xml:space="preserve">Yet across the past 28 days, organic social media has produced zero conversations from Facebook, zero leads, and zero appointments. The full audit below is based on live Meta Business Suite Insights data covering the last 90 days and lifetime audience demographics.</w:t>
      </w:r>
    </w:p>
    <w:p>
      <w:pPr>
        <w:spacing w:after="140" w:line="300"/>
      </w:pPr>
      <w:r>
        <w:rPr>
          <w:color w:val="1C241E"/>
        </w:rPr>
        <w:t xml:space="preserve">The story the data tells is clear: Arbor's audience is the right audience. The numbers below show that 94 percent of followers are women, most are aged 35 to 64, and roughly a quarter live inside Greater Rochester. These are exactly the parents who would book a Discovery Call. The problem is not audience quality. The problem is scale (under 2,500 combined followers), posting cadence (1.6 posts per week against an industry benchmark of 3 to 5), and conversion architecture (zero CTAs landing in inboxes or on Calendly).</w:t>
      </w:r>
    </w:p>
    <w:p>
      <w:pPr>
        <w:spacing w:after="140" w:line="300"/>
      </w:pPr>
      <w:r>
        <w:rPr>
          <w:color w:val="1C241E"/>
        </w:rPr>
        <w:t xml:space="preserve">This audit quantifies each gap, then ties them to the social media engagement proposal sent on May 12 (trial month $1,300, ongoing $1,600 per month). The proposal is sized to fix exactly what the data shows is broken.</w:t>
      </w:r>
    </w:p>
    <w:p>
      <w:pPr>
        <w:pBdr>
          <w:bottom w:val="single" w:color="B58A3E" w:sz="6" w:space="1"/>
        </w:pBdr>
        <w:spacing w:after="200" w:before="200"/>
      </w:pPr>
      <w:r>
        <w:t xml:space="preserve"/>
      </w:r>
    </w:p>
    <w:p>
      <w:pPr>
        <w:pStyle w:val="Heading1"/>
        <w:spacing w:after="200" w:before="360"/>
      </w:pPr>
      <w:r>
        <w:rPr>
          <w:b/>
          <w:bCs/>
          <w:color w:val="264C35"/>
        </w:rPr>
        <w:t xml:space="preserve">Section 1: Live Audit Findings</w:t>
      </w:r>
    </w:p>
    <w:p>
      <w:pPr>
        <w:spacing w:after="140" w:line="300"/>
      </w:pPr>
      <w:r>
        <w:rPr>
          <w:color w:val="1C241E"/>
        </w:rPr>
        <w:t xml:space="preserve">All numbers below are pulled live from Meta Business Suite Insights for Arbor Health on May 17, 2026. Time window for performance metrics is the last 28 days (April 20 to May 17). Time window for content analysis is the last 90 days (February 17 to May 17). Time window for audience demographics is lifetime (since April 2023).</w:t>
      </w:r>
    </w:p>
    <w:p>
      <w:pPr>
        <w:pStyle w:val="Heading2"/>
        <w:spacing w:after="140" w:before="280"/>
      </w:pPr>
      <w:r>
        <w:rPr>
          <w:b/>
          <w:bCs/>
          <w:color w:val="264C35"/>
        </w:rPr>
        <w:t xml:space="preserve">Performance Snapshot</w:t>
      </w:r>
    </w:p>
    <w:p>
      <w:pPr>
        <w:spacing w:after="140" w:line="300"/>
      </w:pPr>
      <w:r>
        <w:rPr>
          <w:color w:val="1C241E"/>
        </w:rPr>
        <w:t xml:space="preserve">Both channels in one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64C35" w:val="clear"/>
            <w:tcMar>
              <w:top w:type="dxa" w:w="100"/>
              <w:left w:type="dxa" w:w="120"/>
              <w:bottom w:type="dxa" w:w="100"/>
              <w:right w:type="dxa" w:w="120"/>
            </w:tcMar>
          </w:tcPr>
          <w:p>
            <w:r>
              <w:rPr>
                <w:b/>
                <w:bCs/>
                <w:color w:val="FFFFFF"/>
              </w:rPr>
              <w:t xml:space="preserve">Metric (28 days)</w:t>
            </w:r>
          </w:p>
        </w:tc>
        <w:tc>
          <w:tcPr>
            <w:tcW w:type="dxa" w:w="2340"/>
            <w:tcBorders>
              <w:top w:val="single" w:color="CCCCCC" w:sz="1"/>
              <w:left w:val="single" w:color="CCCCCC" w:sz="1"/>
              <w:bottom w:val="single" w:color="CCCCCC" w:sz="1"/>
              <w:right w:val="single" w:color="CCCCCC" w:sz="1"/>
            </w:tcBorders>
            <w:shd w:fill="264C35" w:val="clear"/>
            <w:tcMar>
              <w:top w:type="dxa" w:w="100"/>
              <w:left w:type="dxa" w:w="120"/>
              <w:bottom w:type="dxa" w:w="100"/>
              <w:right w:type="dxa" w:w="120"/>
            </w:tcMar>
          </w:tcPr>
          <w:p>
            <w:r>
              <w:rPr>
                <w:b/>
                <w:bCs/>
                <w:color w:val="FFFFFF"/>
              </w:rPr>
              <w:t xml:space="preserve">Facebook</w:t>
            </w:r>
          </w:p>
        </w:tc>
        <w:tc>
          <w:tcPr>
            <w:tcW w:type="dxa" w:w="2340"/>
            <w:tcBorders>
              <w:top w:val="single" w:color="CCCCCC" w:sz="1"/>
              <w:left w:val="single" w:color="CCCCCC" w:sz="1"/>
              <w:bottom w:val="single" w:color="CCCCCC" w:sz="1"/>
              <w:right w:val="single" w:color="CCCCCC" w:sz="1"/>
            </w:tcBorders>
            <w:shd w:fill="264C35" w:val="clear"/>
            <w:tcMar>
              <w:top w:type="dxa" w:w="100"/>
              <w:left w:type="dxa" w:w="120"/>
              <w:bottom w:type="dxa" w:w="100"/>
              <w:right w:type="dxa" w:w="120"/>
            </w:tcMar>
          </w:tcPr>
          <w:p>
            <w:r>
              <w:rPr>
                <w:b/>
                <w:bCs/>
                <w:color w:val="FFFFFF"/>
              </w:rPr>
              <w:t xml:space="preserve">Instagram</w:t>
            </w:r>
          </w:p>
        </w:tc>
        <w:tc>
          <w:tcPr>
            <w:tcW w:type="dxa" w:w="2340"/>
            <w:tcBorders>
              <w:top w:val="single" w:color="CCCCCC" w:sz="1"/>
              <w:left w:val="single" w:color="CCCCCC" w:sz="1"/>
              <w:bottom w:val="single" w:color="CCCCCC" w:sz="1"/>
              <w:right w:val="single" w:color="CCCCCC" w:sz="1"/>
            </w:tcBorders>
            <w:shd w:fill="264C35" w:val="clear"/>
            <w:tcMar>
              <w:top w:type="dxa" w:w="100"/>
              <w:left w:type="dxa" w:w="120"/>
              <w:bottom w:type="dxa" w:w="100"/>
              <w:right w:type="dxa" w:w="120"/>
            </w:tcMar>
          </w:tcPr>
          <w:p>
            <w:r>
              <w:rPr>
                <w:b/>
                <w:bCs/>
                <w:color w:val="FFFFFF"/>
              </w:rPr>
              <w:t xml:space="preserve">Combined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C241E"/>
              </w:rPr>
              <w:t xml:space="preserve">Followers (lifetime)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C241E"/>
              </w:rPr>
              <w:t xml:space="preserve">1,845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C241E"/>
              </w:rPr>
              <w:t xml:space="preserve">642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C241E"/>
              </w:rPr>
              <w:t xml:space="preserve">2,487</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C241E"/>
              </w:rPr>
              <w:t xml:space="preserve">Total views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C241E"/>
              </w:rPr>
              <w:t xml:space="preserve">98,900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C241E"/>
              </w:rPr>
              <w:t xml:space="preserve">7,200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C241E"/>
              </w:rPr>
              <w:t xml:space="preserve">106,100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C241E"/>
              </w:rPr>
              <w:t xml:space="preserve">Reach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C241E"/>
              </w:rPr>
              <w:t xml:space="preserve">35,873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C241E"/>
              </w:rPr>
              <w:t xml:space="preserve">2,700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C241E"/>
              </w:rPr>
              <w:t xml:space="preserve">38,573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C241E"/>
              </w:rPr>
              <w:t xml:space="preserve">Net follows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C241E"/>
              </w:rPr>
              <w:t xml:space="preserve">66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C241E"/>
              </w:rPr>
              <w:t xml:space="preserve">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C241E"/>
              </w:rPr>
              <w:t xml:space="preserve">91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C241E"/>
              </w:rPr>
              <w:t xml:space="preserve">Interactions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C241E"/>
              </w:rPr>
              <w:t xml:space="preserve">652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C241E"/>
              </w:rPr>
              <w:t xml:space="preserve">67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C241E"/>
              </w:rPr>
              <w:t xml:space="preserve">719</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C241E"/>
              </w:rPr>
              <w:t xml:space="preserve">Page visits / Profile visits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C241E"/>
              </w:rPr>
              <w:t xml:space="preserve">1,100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C241E"/>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C241E"/>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C241E"/>
              </w:rPr>
              <w:t xml:space="preserve">Conversations started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C241E"/>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C241E"/>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C241E"/>
              </w:rPr>
              <w:t xml:space="preserve">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C241E"/>
              </w:rPr>
              <w:t xml:space="preserve">Leads from social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C241E"/>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C241E"/>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C241E"/>
              </w:rPr>
              <w:t xml:space="preserve">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C241E"/>
              </w:rPr>
              <w:t xml:space="preserve">Appointments / DC booked (from social)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C241E"/>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C241E"/>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C241E"/>
              </w:rPr>
              <w:t xml:space="preserve">0</w:t>
            </w:r>
          </w:p>
        </w:tc>
      </w:tr>
    </w:tbl>
    <w:p>
      <w:pPr>
        <w:spacing w:after="200"/>
      </w:pPr>
      <w:r>
        <w:t xml:space="preserve"/>
      </w:r>
    </w:p>
    <w:p>
      <w:pPr>
        <w:spacing w:after="140" w:line="300"/>
      </w:pPr>
      <w:r>
        <w:rPr>
          <w:color w:val="1C241E"/>
        </w:rPr>
        <w:t xml:space="preserve">The 28-day trend is positive. Facebook views are up 75 percent, interactions up 387 percent, and net follows up 113 percent versus the prior period. Instagram is moving more slowly with views up 27 percent and net follows up 11 percent. The growth is real, but it is happening from a small base, and the absolute numbers, particularly zero conversations from Facebook in 28 days, show how thin the conversion layer currently is.</w:t>
      </w:r>
    </w:p>
    <w:p>
      <w:pPr>
        <w:pStyle w:val="Heading2"/>
        <w:spacing w:after="140" w:before="280"/>
      </w:pPr>
      <w:r>
        <w:rPr>
          <w:b/>
          <w:bCs/>
          <w:color w:val="264C35"/>
        </w:rPr>
        <w:t xml:space="preserve">Posting Cadence</w:t>
      </w:r>
    </w:p>
    <w:p>
      <w:pPr>
        <w:spacing w:after="140" w:line="300"/>
      </w:pPr>
      <w:r>
        <w:rPr>
          <w:color w:val="1C241E"/>
        </w:rPr>
        <w:t xml:space="preserve">Arbor published 21 posts across Facebook and Instagram in the last 90 days. That is 1.6 posts per week, against an industry benchmark of 3 to 5 posts per week for functional medicine practices that meaningfully convert from social. Notably, Meta's own algorithmic recommendations are visible in Arbor's dashboard right now: "Publish 3 posts on Facebook" shows 0 of 3 complete this week, and "Publish one story on Instagram" shows 0 of 1 complete. The platform itself is flagging the under-posting.</w:t>
      </w:r>
    </w:p>
    <w:p>
      <w:pPr>
        <w:pStyle w:val="Heading2"/>
        <w:spacing w:after="140" w:before="280"/>
      </w:pPr>
      <w:r>
        <w:rPr>
          <w:b/>
          <w:bCs/>
          <w:color w:val="264C35"/>
        </w:rPr>
        <w:t xml:space="preserve">Reels Underuse</w:t>
      </w:r>
    </w:p>
    <w:p>
      <w:pPr>
        <w:spacing w:after="140" w:line="300"/>
      </w:pPr>
      <w:r>
        <w:rPr>
          <w:color w:val="1C241E"/>
        </w:rPr>
        <w:t xml:space="preserve">Of 21 posts in the last 90 days, only 3 were Reels. Meta's own recommendation panel in Arbor's dashboard reads: "You typically post 0 Facebook reels a week. Sharing 1 to 3 times a week may keep your audience engaged and help grow your reach." Reels are the format the algorithm currently rewards most aggressively across both platforms. Existing video assets (Amber's PANS video, Boy and Mom, Teen Symptoms) could be cut into Reels with minimal additional production cost.</w:t>
      </w:r>
    </w:p>
    <w:p>
      <w:pPr>
        <w:pStyle w:val="Heading2"/>
        <w:spacing w:after="140" w:before="280"/>
      </w:pPr>
      <w:r>
        <w:rPr>
          <w:b/>
          <w:bCs/>
          <w:color w:val="264C35"/>
        </w:rPr>
        <w:t xml:space="preserve">Cross-Platform Inconsistency</w:t>
      </w:r>
    </w:p>
    <w:p>
      <w:pPr>
        <w:spacing w:after="140" w:line="300"/>
      </w:pPr>
      <w:r>
        <w:rPr>
          <w:color w:val="1C241E"/>
        </w:rPr>
        <w:t xml:space="preserve">Of 21 posts in the last 90 days, only 2 were cross-posted to both Facebook and Instagram. Eleven posts ran on Facebook only, eight ran on Instagram only. The two channels are operated as separate islands rather than a coordinated content engine. This roughly doubles the production cost per piece of content reach and forfeits audience overlap entirely.</w:t>
      </w:r>
    </w:p>
    <w:p>
      <w:pPr>
        <w:pStyle w:val="Heading2"/>
        <w:spacing w:after="140" w:before="280"/>
      </w:pPr>
      <w:r>
        <w:rPr>
          <w:b/>
          <w:bCs/>
          <w:color w:val="264C35"/>
        </w:rPr>
        <w:t xml:space="preserve">Content Mix Skew</w:t>
      </w:r>
    </w:p>
    <w:p>
      <w:pPr>
        <w:spacing w:after="140" w:line="300"/>
      </w:pPr>
      <w:r>
        <w:rPr>
          <w:color w:val="1C241E"/>
        </w:rPr>
        <w:t xml:space="preserve">By type over 90 days: 15 photos (71 percent), 3 Reels (14 percent), 2 carousels (10 percent), 1 event post. The mix is heavy on static photo content, which is the lowest-reach format across both platforms in 2026. The two carousels that were posted (Rebecca Bielawski award announcement) achieved 119 to 992 reach with strong engagement, but no carousels have been published since March 13.</w:t>
      </w:r>
    </w:p>
    <w:p>
      <w:pPr>
        <w:pStyle w:val="Heading2"/>
        <w:spacing w:after="140" w:before="280"/>
      </w:pPr>
      <w:r>
        <w:rPr>
          <w:b/>
          <w:bCs/>
          <w:color w:val="264C35"/>
        </w:rPr>
        <w:t xml:space="preserve">Content Topic Skew</w:t>
      </w:r>
    </w:p>
    <w:p>
      <w:pPr>
        <w:spacing w:after="140" w:line="300"/>
      </w:pPr>
      <w:r>
        <w:rPr>
          <w:color w:val="1C241E"/>
        </w:rPr>
        <w:t xml:space="preserve">Of 21 posts in 90 days, only 4 directly addressed PANS or PANDAS, which is Arbor's primary paid acquisition driver and the topic the paid funnel is built around. Seven of 21 posts (33 percent) celebrated staff or founders. While these posts perform well on engagement (the May 6 Dr. Zendi birthday post earned 8.6 percent engagement rate and 67 interactions), they do not drive link clicks, follows, or bookings. The two PANS-focused posts on May 13 generated 82 to 111 reach and 1 to 2 link clicks each. The organic channel is currently celebrating the team more than it is acquiring patients.</w:t>
      </w:r>
    </w:p>
    <w:p>
      <w:pPr>
        <w:pStyle w:val="Heading2"/>
        <w:spacing w:after="140" w:before="280"/>
      </w:pPr>
      <w:r>
        <w:rPr>
          <w:b/>
          <w:bCs/>
          <w:color w:val="264C35"/>
        </w:rPr>
        <w:t xml:space="preserve">Audience Quality</w:t>
      </w:r>
    </w:p>
    <w:p>
      <w:pPr>
        <w:spacing w:after="140" w:line="300"/>
      </w:pPr>
      <w:r>
        <w:rPr>
          <w:color w:val="1C241E"/>
        </w:rPr>
        <w:t xml:space="preserve">This is the most important finding in the entire audit, and it is the one that justifies investment rather than retreat. Arbor has 1,845 Facebook followers and 642 Instagram followers, 2,487 combined. The demographic profile is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64C35" w:val="clear"/>
            <w:tcMar>
              <w:top w:type="dxa" w:w="100"/>
              <w:left w:type="dxa" w:w="120"/>
              <w:bottom w:type="dxa" w:w="100"/>
              <w:right w:type="dxa" w:w="120"/>
            </w:tcMar>
          </w:tcPr>
          <w:p>
            <w:r>
              <w:rPr>
                <w:b/>
                <w:bCs/>
                <w:color w:val="FFFFFF"/>
              </w:rPr>
              <w:t xml:space="preserve">Demographic</w:t>
            </w:r>
          </w:p>
        </w:tc>
        <w:tc>
          <w:tcPr>
            <w:tcW w:type="dxa" w:w="3120"/>
            <w:tcBorders>
              <w:top w:val="single" w:color="CCCCCC" w:sz="1"/>
              <w:left w:val="single" w:color="CCCCCC" w:sz="1"/>
              <w:bottom w:val="single" w:color="CCCCCC" w:sz="1"/>
              <w:right w:val="single" w:color="CCCCCC" w:sz="1"/>
            </w:tcBorders>
            <w:shd w:fill="264C35" w:val="clear"/>
            <w:tcMar>
              <w:top w:type="dxa" w:w="100"/>
              <w:left w:type="dxa" w:w="120"/>
              <w:bottom w:type="dxa" w:w="100"/>
              <w:right w:type="dxa" w:w="120"/>
            </w:tcMar>
          </w:tcPr>
          <w:p>
            <w:r>
              <w:rPr>
                <w:b/>
                <w:bCs/>
                <w:color w:val="FFFFFF"/>
              </w:rPr>
              <w:t xml:space="preserve">Facebook</w:t>
            </w:r>
          </w:p>
        </w:tc>
        <w:tc>
          <w:tcPr>
            <w:tcW w:type="dxa" w:w="3120"/>
            <w:tcBorders>
              <w:top w:val="single" w:color="CCCCCC" w:sz="1"/>
              <w:left w:val="single" w:color="CCCCCC" w:sz="1"/>
              <w:bottom w:val="single" w:color="CCCCCC" w:sz="1"/>
              <w:right w:val="single" w:color="CCCCCC" w:sz="1"/>
            </w:tcBorders>
            <w:shd w:fill="264C35" w:val="clear"/>
            <w:tcMar>
              <w:top w:type="dxa" w:w="100"/>
              <w:left w:type="dxa" w:w="120"/>
              <w:bottom w:type="dxa" w:w="100"/>
              <w:right w:type="dxa" w:w="120"/>
            </w:tcMar>
          </w:tcPr>
          <w:p>
            <w:r>
              <w:rPr>
                <w:b/>
                <w:bCs/>
                <w:color w:val="FFFFFF"/>
              </w:rPr>
              <w:t xml:space="preserve">Instagram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C241E"/>
              </w:rPr>
              <w:t xml:space="preserve">Female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C241E"/>
              </w:rPr>
              <w:t xml:space="preserve">94%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C241E"/>
              </w:rPr>
              <w:t xml:space="preserve">93.8%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C241E"/>
              </w:rPr>
              <w:t xml:space="preserve">Age 35 to 44 (women)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C241E"/>
              </w:rPr>
              <w:t xml:space="preserve">24.1%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C241E"/>
              </w:rPr>
              <w:t xml:space="preserve">36.9%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C241E"/>
              </w:rPr>
              <w:t xml:space="preserve">Age 45 to 54 (women)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C241E"/>
              </w:rPr>
              <w:t xml:space="preserve">33.1%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C241E"/>
              </w:rPr>
              <w:t xml:space="preserve">26.2%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C241E"/>
              </w:rPr>
              <w:t xml:space="preserve">Age 55 to 64 (women)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C241E"/>
              </w:rPr>
              <w:t xml:space="preserve">21.8%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C241E"/>
              </w:rPr>
              <w:t xml:space="preserve">14.6%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C241E"/>
              </w:rPr>
              <w:t xml:space="preserve">Age 25 to 34 (women)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C241E"/>
              </w:rPr>
              <w:t xml:space="preserve">4.7%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C241E"/>
              </w:rPr>
              <w:t xml:space="preserve">12.1%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C241E"/>
              </w:rPr>
              <w:t xml:space="preserve">Greater Rochester concentration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C241E"/>
              </w:rPr>
              <w:t xml:space="preserve">~26%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C241E"/>
              </w:rPr>
              <w:t xml:space="preserve">~28%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C241E"/>
              </w:rPr>
              <w:t xml:space="preserve">United States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C241E"/>
              </w:rPr>
              <w:t xml:space="preserve">96.8%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C241E"/>
              </w:rPr>
              <w:t xml:space="preserve">91.9%</w:t>
            </w:r>
          </w:p>
        </w:tc>
      </w:tr>
    </w:tbl>
    <w:p>
      <w:pPr>
        <w:spacing w:after="200"/>
      </w:pPr>
      <w:r>
        <w:t xml:space="preserve"/>
      </w:r>
    </w:p>
    <w:p>
      <w:pPr>
        <w:spacing w:after="140" w:line="300"/>
      </w:pPr>
      <w:r>
        <w:rPr>
          <w:color w:val="1C241E"/>
        </w:rPr>
        <w:t xml:space="preserve">The combined audience is approximately 94 percent women, with the largest single cohort being women aged 35 to 54. This is the precise persona of a parent of a child showing PANS, PANDAS, or unexplained chronic symptoms. Approximately 26 to 28 percent of followers live inside Greater Rochester, exactly Arbor's service area. The audience Arbor has is the audience Arbor wants. There are just not enough of them yet.</w:t>
      </w:r>
    </w:p>
    <w:p>
      <w:pPr>
        <w:pStyle w:val="Heading2"/>
        <w:spacing w:after="140" w:before="280"/>
      </w:pPr>
      <w:r>
        <w:rPr>
          <w:b/>
          <w:bCs/>
          <w:color w:val="264C35"/>
        </w:rPr>
        <w:t xml:space="preserve">Conversion Architecture</w:t>
      </w:r>
    </w:p>
    <w:p>
      <w:pPr>
        <w:spacing w:after="140" w:line="300"/>
      </w:pPr>
      <w:r>
        <w:rPr>
          <w:color w:val="1C241E"/>
        </w:rPr>
        <w:t xml:space="preserve">In the last 28 days, Facebook produced 0 conversations started, 0 new contacts, 0 leads, 0 appointments from social. Instagram produced 2 conversations and 2 new contacts (a 50 percent response rate), 0 leads, 0 appointments from social. Across 35,873 Facebook viewers in 28 days, not a single one started a conversation with the page. This is the social conversion gap. The reach is there. The follow-through is not.</w:t>
      </w:r>
    </w:p>
    <w:p>
      <w:pPr>
        <w:pStyle w:val="Heading2"/>
        <w:spacing w:after="140" w:before="280"/>
      </w:pPr>
      <w:r>
        <w:rPr>
          <w:b/>
          <w:bCs/>
          <w:color w:val="264C35"/>
        </w:rPr>
        <w:t xml:space="preserve">Page Hygiene</w:t>
      </w:r>
    </w:p>
    <w:p>
      <w:pPr>
        <w:spacing w:after="140" w:line="300"/>
      </w:pPr>
      <w:r>
        <w:rPr>
          <w:color w:val="1C241E"/>
        </w:rPr>
        <w:t xml:space="preserve">Two specific issues visible on the public-facing page that need to be cleaned up before any growth investment lands. First, the featured post pinned at the top of the Facebook page is from September 13, 2025, and has not been refreshed in 8 months. Second, product.brand placeholder posts are still in the feed, an open item your task list has flagged for Amber and Meg to delete. Both reduce credibility for any visitor scrolling to vet the clinic, which is exactly what a PANS or PANDAS parent does before booking a Discovery Call.</w:t>
      </w:r>
    </w:p>
    <w:p>
      <w:pPr>
        <w:pBdr>
          <w:bottom w:val="single" w:color="B58A3E" w:sz="6" w:space="1"/>
        </w:pBdr>
        <w:spacing w:after="200" w:before="200"/>
      </w:pPr>
      <w:r>
        <w:t xml:space="preserve"/>
      </w:r>
    </w:p>
    <w:p>
      <w:pPr>
        <w:pStyle w:val="Heading1"/>
        <w:spacing w:after="200" w:before="360"/>
      </w:pPr>
      <w:r>
        <w:rPr>
          <w:b/>
          <w:bCs/>
          <w:color w:val="264C35"/>
        </w:rPr>
        <w:t xml:space="preserve">Section 2: Cost of the Status Quo</w:t>
      </w:r>
    </w:p>
    <w:p>
      <w:pPr>
        <w:spacing w:after="140" w:line="300"/>
      </w:pPr>
      <w:r>
        <w:rPr>
          <w:color w:val="1C241E"/>
        </w:rPr>
        <w:t xml:space="preserve">Three quantifiable risks of leaving the current state unchanged, with anchor numbers from the data above.</w:t>
      </w:r>
    </w:p>
    <w:p>
      <w:pPr>
        <w:pStyle w:val="Heading2"/>
        <w:spacing w:after="140" w:before="280"/>
      </w:pPr>
      <w:r>
        <w:rPr>
          <w:b/>
          <w:bCs/>
          <w:color w:val="264C35"/>
        </w:rPr>
        <w:t xml:space="preserve">Paid Dependency Risk</w:t>
      </w:r>
    </w:p>
    <w:p>
      <w:pPr>
        <w:spacing w:after="140" w:line="300"/>
      </w:pPr>
      <w:r>
        <w:rPr>
          <w:color w:val="1C241E"/>
        </w:rPr>
        <w:t xml:space="preserve">At $5 to $7 cost per lead on Facebook, Arbor produces leads efficiently. However, organic social contributes 0 of those leads. This week's KPIs already show creative fatigue, with all three winning ads up 30 to 60 percent in CPL from last week and total leads down 38 percent. The paid funnel has no organic backstop. If Meta's auction prices rise, ad policy on health verticals tightens, or audience fatigue continues, lead cost rises with no offset.</w:t>
      </w:r>
    </w:p>
    <w:p>
      <w:pPr>
        <w:pStyle w:val="Heading2"/>
        <w:spacing w:after="140" w:before="280"/>
      </w:pPr>
      <w:r>
        <w:rPr>
          <w:b/>
          <w:bCs/>
          <w:color w:val="264C35"/>
        </w:rPr>
        <w:t xml:space="preserve">Discovery Call Conversion Risk</w:t>
      </w:r>
    </w:p>
    <w:p>
      <w:pPr>
        <w:spacing w:after="140" w:line="300"/>
      </w:pPr>
      <w:r>
        <w:rPr>
          <w:color w:val="1C241E"/>
        </w:rPr>
        <w:t xml:space="preserve">Across 250 plus leads to date, Arbor has 1 Discovery Call booked. The single largest gap in the funnel is between form submission and Calendly booking. A consistent organic social presence running in parallel with paid would warm leads further between those two steps, lifting conversion at the most expensive point in the funnel. Currently the social channel offers no warming function at all because new prospects either do not find it, or find it inactive.</w:t>
      </w:r>
    </w:p>
    <w:p>
      <w:pPr>
        <w:pStyle w:val="Heading2"/>
        <w:spacing w:after="140" w:before="280"/>
      </w:pPr>
      <w:r>
        <w:rPr>
          <w:b/>
          <w:bCs/>
          <w:color w:val="264C35"/>
        </w:rPr>
        <w:t xml:space="preserve">Authority Drift</w:t>
      </w:r>
    </w:p>
    <w:p>
      <w:pPr>
        <w:spacing w:after="140" w:line="300"/>
      </w:pPr>
      <w:r>
        <w:rPr>
          <w:color w:val="1C241E"/>
        </w:rPr>
        <w:t xml:space="preserve">Arbor has 2,487 combined followers. A functional medicine practice serving the Rochester market with 26 percent of its audience local to that market is competing on the same shelf as practices with 10,000 plus followers and active Reels output. Each month of under-posting is a month of forfeited share of voice in the segment Arbor's clinical capabilities should dominate.</w:t>
      </w:r>
    </w:p>
    <w:p>
      <w:pPr>
        <w:pBdr>
          <w:bottom w:val="single" w:color="B58A3E" w:sz="6" w:space="1"/>
        </w:pBdr>
        <w:spacing w:after="200" w:before="200"/>
      </w:pPr>
      <w:r>
        <w:t xml:space="preserve"/>
      </w:r>
    </w:p>
    <w:p>
      <w:pPr>
        <w:pStyle w:val="Heading1"/>
        <w:spacing w:after="200" w:before="360"/>
      </w:pPr>
      <w:r>
        <w:rPr>
          <w:b/>
          <w:bCs/>
          <w:color w:val="264C35"/>
        </w:rPr>
        <w:t xml:space="preserve">Section 3: Recommended Content Strategy</w:t>
      </w:r>
    </w:p>
    <w:p>
      <w:pPr>
        <w:spacing w:after="140" w:line="300"/>
      </w:pPr>
      <w:r>
        <w:rPr>
          <w:color w:val="1C241E"/>
        </w:rPr>
        <w:t xml:space="preserve">Arbor offers far more than PANS and PANDAS. The website lists services across four major categories: Digestive and Immune Health, Energy and Hormonal Health, Mental and Brain Health, and Peak Performance, plus BrainCore Neurofeedback as a distinct modality. The audience demographics we pulled make this even more relevant. 79 percent of followers are women aged 35 to 64, which is the precise demographic for both pediatric content (their kids) and adult women's content (their own hormones, thyroid, perimenopause, brain fog, weight). The content strategy should reflect that this audience cares about both their family's health and their own.</w:t>
      </w:r>
    </w:p>
    <w:p>
      <w:pPr>
        <w:spacing w:after="140" w:line="300"/>
      </w:pPr>
      <w:r>
        <w:rPr>
          <w:color w:val="1C241E"/>
        </w:rPr>
        <w:t xml:space="preserve">Five content pillars sized to Arbor's service mix and audience composition. Total cadence target: 5 to 7 posts per channel per week, with at least 2 Reels per week per channel, fully cross-posted by default.</w:t>
      </w:r>
    </w:p>
    <w:p>
      <w:pPr>
        <w:pStyle w:val="Heading2"/>
        <w:spacing w:after="140" w:before="280"/>
      </w:pPr>
      <w:r>
        <w:rPr>
          <w:b/>
          <w:bCs/>
          <w:color w:val="264C35"/>
        </w:rPr>
        <w:t xml:space="preserve">Pillar 1: Pediatric Health</w:t>
      </w:r>
    </w:p>
    <w:p>
      <w:pPr>
        <w:spacing w:after="140" w:line="300"/>
      </w:pPr>
      <w:r>
        <w:rPr>
          <w:color w:val="1C241E"/>
        </w:rPr>
        <w:t xml:space="preserve">The PANS and PANDAS focus that drives the paid funnel, plus the broader pediatric mental health and chronic illness work Arbor does. Covers PANS, PANDAS, pediatric ADHD, pediatric anxiety and depression, autism, undiagnosed pediatric symptoms. Currently only 4 of 21 posts (19 percent) in the last 90 days addressed this category, despite it being the primary acquisition driver. Lift to 1 to 2 posts per week. Format mix: symptom spotlight Reels, misdiagnosis carousels, parent FAQ posts, school season tie-ins.</w:t>
      </w:r>
    </w:p>
    <w:p>
      <w:pPr>
        <w:pStyle w:val="Heading2"/>
        <w:spacing w:after="140" w:before="280"/>
      </w:pPr>
      <w:r>
        <w:rPr>
          <w:b/>
          <w:bCs/>
          <w:color w:val="264C35"/>
        </w:rPr>
        <w:t xml:space="preserve">Pillar 2: Women's Health</w:t>
      </w:r>
    </w:p>
    <w:p>
      <w:pPr>
        <w:spacing w:after="140" w:line="300"/>
      </w:pPr>
      <w:r>
        <w:rPr>
          <w:color w:val="1C241E"/>
        </w:rPr>
        <w:t xml:space="preserve">This is the most underused leverage point in the entire strategy. Arbor's follower base is 94 percent women aged 35 to 64, but almost zero current content speaks to their own health questions. Covers perimenopause, menopause, hormone imbalance, thyroid dysfunction, adrenal fatigue, weight loss, chronic fatigue. The blog already has substantial content on these topics (Estrogen Dominance, Thyroid, Adrenal Fatigue are featured on the homepage). Lift to 1 to 2 posts per week. Format mix: educational carousels on hormone testing, Reels on "why your labs say normal but you feel terrible," testimonial graphics from adult women patients.</w:t>
      </w:r>
    </w:p>
    <w:p>
      <w:pPr>
        <w:pStyle w:val="Heading2"/>
        <w:spacing w:after="140" w:before="280"/>
      </w:pPr>
      <w:r>
        <w:rPr>
          <w:b/>
          <w:bCs/>
          <w:color w:val="264C35"/>
        </w:rPr>
        <w:t xml:space="preserve">Pillar 3: Brain and Mental Health</w:t>
      </w:r>
    </w:p>
    <w:p>
      <w:pPr>
        <w:spacing w:after="140" w:line="300"/>
      </w:pPr>
      <w:r>
        <w:rPr>
          <w:color w:val="1C241E"/>
        </w:rPr>
        <w:t xml:space="preserve">Spans pediatric and adult audiences and includes BrainCore Neurofeedback as a major service line that is barely visible in social right now. Covers anxiety, depression, brain fog, cognitive decline, insomnia, adult ADHD, traumatic brain injury, and neurofeedback as a drug-free treatment modality. The February 2026 neurofeedback webinar campaign (Feb 18 to 20 posts) is the only neurofeedback content in 90 days, and it was paid amplified. Lift to 1 to 2 posts per week. Format mix: short Reels of neurofeedback session footage, before-and-after brain map explainers, anxiety and ADHD condition spotlights, founder commentary from Amber on neurofeedback science.</w:t>
      </w:r>
    </w:p>
    <w:p>
      <w:pPr>
        <w:pStyle w:val="Heading2"/>
        <w:spacing w:after="140" w:before="280"/>
      </w:pPr>
      <w:r>
        <w:rPr>
          <w:b/>
          <w:bCs/>
          <w:color w:val="264C35"/>
        </w:rPr>
        <w:t xml:space="preserve">Pillar 4: Functional Medicine Authority</w:t>
      </w:r>
    </w:p>
    <w:p>
      <w:pPr>
        <w:spacing w:after="140" w:line="300"/>
      </w:pPr>
      <w:r>
        <w:rPr>
          <w:color w:val="1C241E"/>
        </w:rPr>
        <w:t xml:space="preserve">Educational content positioning Arbor as the explanation layer for functional medicine itself. Covers the functional medicine approach, advanced lab testing and biomarkers (Arbor cites 400+ datapoints and dozens of biomarker tests on the website), root cause vs symptom management, what to expect in a Discovery Call. This pillar warms the audience for the entire service mix without selling any single condition. Output target: 1 post per week. Format mix: explainer carousels, founder testimonial videos from Dr. Zendi or Amber, FAQ posts.</w:t>
      </w:r>
    </w:p>
    <w:p>
      <w:pPr>
        <w:pStyle w:val="Heading2"/>
        <w:spacing w:after="140" w:before="280"/>
      </w:pPr>
      <w:r>
        <w:rPr>
          <w:b/>
          <w:bCs/>
          <w:color w:val="264C35"/>
        </w:rPr>
        <w:t xml:space="preserve">Pillar 5: Patient Outcomes and Practice</w:t>
      </w:r>
    </w:p>
    <w:p>
      <w:pPr>
        <w:spacing w:after="140" w:line="300"/>
      </w:pPr>
      <w:r>
        <w:rPr>
          <w:color w:val="1C241E"/>
        </w:rPr>
        <w:t xml:space="preserve">Continue the highest engagement content Arbor is already producing, but with conversion architecture added. Covers patient testimonials (7 named on the website, more available with consent), team spotlights, awards, behind-the-scenes. The two April PANS family Reels prove this format works. The staff celebration posts already earn 6 to 9 percent engagement, the highest of any content type, but currently produce zero follows and zero link clicks. Lift to 1 to 2 posts per week, and pair every staff or outcome post with a soft CTA to a Discovery Call or a relevant guide download. Engagement that is being earned will start converting.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5E"/>
        <w:sz w:val="16"/>
        <w:szCs w:val="16"/>
      </w:rPr>
      <w:t xml:space="preserve">Prepared by Mark Osabel, eGrowth Systems  |  </w:t>
    </w:r>
    <w:r>
      <w:rPr>
        <w:color w:val="5A6B5E"/>
        <w:sz w:val="16"/>
        <w:szCs w:val="16"/>
      </w:rPr>
      <w:t xml:space="preserve">Page </w:t>
    </w:r>
    <w:r>
      <w:rPr>
        <w:color w:val="5A6B5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A6B5E"/>
        <w:sz w:val="18"/>
        <w:szCs w:val="18"/>
      </w:rPr>
      <w:t xml:space="preserve">Arbor Health  |  Social Media Audit &amp; Recommendation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64C35"/>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64C3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2026-05-18T20:56:47.018Z</dcterms:created>
  <dcterms:modified xsi:type="dcterms:W3CDTF">2026-05-18T20:56:47.018Z</dcterms:modified>
</cp:coreProperties>
</file>

<file path=docProps/custom.xml><?xml version="1.0" encoding="utf-8"?>
<Properties xmlns="http://schemas.openxmlformats.org/officeDocument/2006/custom-properties" xmlns:vt="http://schemas.openxmlformats.org/officeDocument/2006/docPropsVTypes"/>
</file>