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Calibri"/>
          <w:b/>
          <w:color w:val="172B36"/>
          <w:sz w:val="44"/>
        </w:rPr>
        <w:t>IZVEŠTAJ O REALIZOVANOM OBIMU</w:t>
      </w:r>
    </w:p>
    <w:p>
      <w:pPr>
        <w:spacing w:after="280"/>
      </w:pPr>
      <w:r>
        <w:rPr>
          <w:rFonts w:ascii="Calibri" w:hAnsi="Calibri" w:eastAsia="Calibri"/>
          <w:color w:val="1F4D78"/>
          <w:sz w:val="28"/>
        </w:rPr>
        <w:t>Web-shop, Mini ERP, newsletter i funkcionalnosti iz druge faze</w:t>
      </w:r>
    </w:p>
    <w:p>
      <w:pPr>
        <w:spacing w:after="40"/>
      </w:pPr>
      <w:r>
        <w:rPr>
          <w:rFonts w:ascii="Calibri" w:hAnsi="Calibri" w:eastAsia="Calibri"/>
          <w:b/>
          <w:color w:val="172B36"/>
          <w:sz w:val="20"/>
        </w:rPr>
        <w:t xml:space="preserve">Namena: </w:t>
      </w:r>
      <w:r>
        <w:rPr>
          <w:rFonts w:ascii="Calibri" w:hAnsi="Calibri" w:eastAsia="Calibri"/>
          <w:color w:val="172B36"/>
          <w:sz w:val="20"/>
        </w:rPr>
        <w:t>Interni pregled za usaglašavanje tima i komunikaciju sa klijentom</w:t>
      </w:r>
    </w:p>
    <w:p>
      <w:pPr>
        <w:spacing w:after="40"/>
      </w:pPr>
      <w:r>
        <w:rPr>
          <w:rFonts w:ascii="Calibri" w:hAnsi="Calibri" w:eastAsia="Calibri"/>
          <w:b/>
          <w:color w:val="172B36"/>
          <w:sz w:val="20"/>
        </w:rPr>
        <w:t xml:space="preserve">Datum preseka: </w:t>
      </w:r>
      <w:r>
        <w:rPr>
          <w:rFonts w:ascii="Calibri" w:hAnsi="Calibri" w:eastAsia="Calibri"/>
          <w:color w:val="172B36"/>
          <w:sz w:val="20"/>
        </w:rPr>
        <w:t>29. avgust 2026.</w:t>
      </w:r>
    </w:p>
    <w:p>
      <w:pPr>
        <w:spacing w:after="40"/>
      </w:pPr>
      <w:r>
        <w:rPr>
          <w:rFonts w:ascii="Calibri" w:hAnsi="Calibri" w:eastAsia="Calibri"/>
          <w:b/>
          <w:color w:val="172B36"/>
          <w:sz w:val="20"/>
        </w:rPr>
        <w:t xml:space="preserve">Izvori: </w:t>
      </w:r>
      <w:r>
        <w:rPr>
          <w:rFonts w:ascii="Calibri" w:hAnsi="Calibri" w:eastAsia="Calibri"/>
          <w:color w:val="172B36"/>
          <w:sz w:val="20"/>
        </w:rPr>
        <w:t>Potpisani ugovor, mejlovski dogovor, projektni plan i tehnička provera aplikacije</w:t>
      </w:r>
    </w:p>
    <w:p>
      <w:pPr>
        <w:spacing w:after="40"/>
      </w:pPr>
      <w:r>
        <w:rPr>
          <w:rFonts w:ascii="Calibri" w:hAnsi="Calibri" w:eastAsia="Calibri"/>
          <w:b/>
          <w:color w:val="172B36"/>
          <w:sz w:val="20"/>
        </w:rPr>
        <w:t xml:space="preserve">Status dokumenta: </w:t>
      </w:r>
      <w:r>
        <w:rPr>
          <w:rFonts w:ascii="Calibri" w:hAnsi="Calibri" w:eastAsia="Calibri"/>
          <w:color w:val="172B36"/>
          <w:sz w:val="20"/>
        </w:rPr>
        <w:t>Radni činjenični izveštaj - nije pravno mišljenje</w:t>
      </w:r>
    </w:p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A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Glavni zaključak: </w:t>
            </w:r>
            <w:r>
              <w:rPr>
                <w:rFonts w:ascii="Calibri" w:hAnsi="Calibri" w:eastAsia="Calibri"/>
                <w:color w:val="172B36"/>
                <w:sz w:val="22"/>
              </w:rPr>
              <w:t>Većina ugovorene Faze 1 je implementirana, a urađen je i značajan dodatni obim. Sistem koji je u ugovoru nazvan Mini ERP po funkcionalnoj širini je prošireni operativni ERP/OMS/WMS-lite, ali nije pun računovodstveni ERP. Najjasnije dodatno urađeni moduli su napredne reklamacije i napredni newsletter centar. Preostale tačke uglavnom zavise od banke, kurira, fiskalnog/SEF okruženja ili dodatnog dobavljača.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Izvršni pregled</w:t>
      </w:r>
    </w:p>
    <w:p>
      <w:r>
        <w:rPr>
          <w:rFonts w:ascii="Calibri" w:hAnsi="Calibri" w:eastAsia="Calibri"/>
          <w:i w:val="0"/>
          <w:color w:val="172B36"/>
          <w:sz w:val="22"/>
        </w:rPr>
        <w:t>Potpisani ugovor obuhvata Fazu 1 i izričito predviđa da se Faza 2 ugovara posebnim ugovorom ili aneksom. Projektni plan je detaljniji od ugovora, ali ne razdvaja dosledno faze, pa se u njemu nalaze i funkcije koje su u mejlu jasno svrstane u Fazu 2.</w:t>
      </w:r>
    </w:p>
    <w:p>
      <w:r>
        <w:rPr>
          <w:rFonts w:ascii="Calibri" w:hAnsi="Calibri" w:eastAsia="Calibri"/>
          <w:i w:val="0"/>
          <w:color w:val="172B36"/>
          <w:sz w:val="22"/>
        </w:rPr>
        <w:t>Na osnovu pregleda aplikacije, nije tačno da je urađen samo osnovni web-shop. Pored storefronta i administracije, izgrađen je složen poslovni sloj za nabavku, cene, više magacina, rezervacije, porudžbine, logistiku, dokumente, reklamacije, marketing i kontrolu sistema.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  <w:tblInd w:w="120" w:type="dxa"/>
      </w:tblPr>
      <w:tblGrid>
        <w:gridCol w:w="1900"/>
        <w:gridCol w:w="1100"/>
        <w:gridCol w:w="1700"/>
        <w:gridCol w:w="4660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Oblast</w:t>
            </w:r>
          </w:p>
        </w:tc>
        <w:tc>
          <w:tcPr>
            <w:tcW w:type="dxa" w:w="1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Klasifikacija</w:t>
            </w:r>
          </w:p>
        </w:tc>
        <w:tc>
          <w:tcPr>
            <w:tcW w:type="dxa" w:w="4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Sažetak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Web-shop i CMS</w:t>
            </w:r>
          </w:p>
        </w:tc>
        <w:tc>
          <w:tcPr>
            <w:tcW w:type="dxa" w:w="110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Faza 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Custom storefront, responsive prikaz, početna, kategorije, akcije, proizvodi, pretraga, korpa, checkout, nalog i admin.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Dobavljačke integracije</w:t>
            </w:r>
          </w:p>
        </w:tc>
        <w:tc>
          <w:tcPr>
            <w:tcW w:type="dxa" w:w="110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DELIMIČNO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Faza 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Rabalux je realna automatizovana integracija; generički import postoji, ali drugi kompletan spoljni dobavljač nije potvrđen.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Kurirske integracije</w:t>
            </w:r>
          </w:p>
        </w:tc>
        <w:tc>
          <w:tcPr>
            <w:tcW w:type="dxa" w:w="110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DELIMIČNO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Faza 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MyGLS je produkciono prihvaćen; X Express ima implementaciju, ali je i dalje vezan za test/eksterno prihvatanje.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Plaćanje</w:t>
            </w:r>
          </w:p>
        </w:tc>
        <w:tc>
          <w:tcPr>
            <w:tcW w:type="dxa" w:w="110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ČEKA SPOLJA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Izmena Faze 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WS Pay je dogovoreno zamenjen Raiffeisen rešenjem. Čekaju se bankarska dokumentacija i završni produkcioni podaci.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Fiskalizacija i SEF</w:t>
            </w:r>
          </w:p>
        </w:tc>
        <w:tc>
          <w:tcPr>
            <w:tcW w:type="dxa" w:w="110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DELIMIČNO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Faza 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Aplikativna logika postoji; produkcioni BADI, SEF i deo eOtpremnica toka čekaju spoljne preduslove.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Mini ERP</w:t>
            </w:r>
          </w:p>
        </w:tc>
        <w:tc>
          <w:tcPr>
            <w:tcW w:type="dxa" w:w="110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DELIMIČNO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Faza 1 + proširenje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Ugovoreni operativni moduli su uglavnom realizovani i znatno prošireni; SEF/eOtpremnica i deo spoljnih prihvatanja još nisu zatvoreni.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Napredne reklamacije</w:t>
            </w:r>
          </w:p>
        </w:tc>
        <w:tc>
          <w:tcPr>
            <w:tcW w:type="dxa" w:w="110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DODATNO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Faza 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Skoro kompletan napredni reklamacioni sistem je već realizovan.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Newsletter centar</w:t>
            </w:r>
          </w:p>
        </w:tc>
        <w:tc>
          <w:tcPr>
            <w:tcW w:type="dxa" w:w="110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DODATNO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Van izričitog obima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Napredan marketing sistem sa kontaktima, saglasnostima, publikama, kampanjama, odobrenjima i analitikom.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Google oglašavanje</w:t>
            </w:r>
          </w:p>
        </w:tc>
        <w:tc>
          <w:tcPr>
            <w:tcW w:type="dxa" w:w="110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DELIMIČNO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Faza 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Feed, selekcija proizvoda i budžetske postavke postoje; puna Google Ads API automatizacija nije urađena.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Meta integracije</w:t>
            </w:r>
          </w:p>
        </w:tc>
        <w:tc>
          <w:tcPr>
            <w:tcW w:type="dxa" w:w="1100"/>
            <w:shd w:fill="EFEF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IZBAČENO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Naknadna odluka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Prema aktuelnom dogovoru Meta nalozi/integracije se ne rade i ne vode se kao preostala obaveza.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Viber</w:t>
            </w:r>
          </w:p>
        </w:tc>
        <w:tc>
          <w:tcPr>
            <w:tcW w:type="dxa" w:w="110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DELIMIČNO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Faza 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Publike, kampanje i transportna osnova postoje, ali nema produkcionog provajdera i završenog slanja.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Sačuvane kartice</w:t>
            </w:r>
          </w:p>
        </w:tc>
        <w:tc>
          <w:tcPr>
            <w:tcW w:type="dxa" w:w="110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NIJE 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Faza 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Postoje modeli/API osnova, ali nema tokenizacije i stvarnog plaćanja sačuvanom karticom.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Pravilo klasifikacije i izvori</w:t>
      </w:r>
    </w:p>
    <w:p>
      <w:r>
        <w:rPr>
          <w:rFonts w:ascii="Calibri" w:hAnsi="Calibri" w:eastAsia="Calibri"/>
          <w:i w:val="0"/>
          <w:color w:val="172B36"/>
          <w:sz w:val="22"/>
        </w:rPr>
        <w:t>U ovom izveštaju koriste se sledeće oznake: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URAĐENO - funkcionalnost postoji u aplikaciji i njen osnovni poslovni tok je implementiran.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DELIMIČNO - aplikativna osnova postoji, ali nedostaje deo zahteva, produkciona potvrda ili spoljna integracija.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ČEKA SPOLJA - završetak neposredno zavisi od banke, kurira, državnog/partnerskog servisa ili dostavljenih pristupa.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NIJE URAĐENO - nema kompletnog funkcionalnog toka koji se može smatrati isporučenim.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DODATNO - urađeno je van potpisanog obima Faze 1 ili nije izričito navedeno ni u jednoj dostavljenoj specifikaciji.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IZBAČENO - naknadnom odlukom više nije predmet realizacije i ne vodi se kao dugovanje.</w:t>
      </w:r>
    </w:p>
    <w:p>
      <w:pPr>
        <w:spacing w:before="80" w:after="80"/>
      </w:pPr>
      <w:r>
        <w:rPr>
          <w:rFonts w:ascii="Calibri" w:hAnsi="Calibri" w:eastAsia="Calibri"/>
          <w:i/>
          <w:color w:val="5F6F78"/>
          <w:sz w:val="18"/>
        </w:rPr>
        <w:t>Dokumentarni izvori: Web shop ugovor.pdf; mejlovska podela Faze 1 i Faze 2; Web shop SPC 2 (2).docx. Tehnički izvori: postojeće rute, Prisma modeli, servisni moduli, testovi, build i trenutna konfiguracija aplikacije.</w:t>
      </w:r>
    </w:p>
    <w:p>
      <w:pPr>
        <w:pStyle w:val="Heading1"/>
        <w:keepNext/>
      </w:pPr>
      <w:r>
        <w:t>3. Detaljan pregled Faze 1 - web-shop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  <w:tblInd w:w="120" w:type="dxa"/>
      </w:tblPr>
      <w:tblGrid>
        <w:gridCol w:w="1780"/>
        <w:gridCol w:w="1040"/>
        <w:gridCol w:w="3270"/>
        <w:gridCol w:w="3270"/>
      </w:tblGrid>
      <w:tr>
        <w:trPr>
          <w:tblHeader w:val="true"/>
          <w:cantSplit w:val="true"/>
        </w:trPr>
        <w:tc>
          <w:tcPr>
            <w:tcW w:type="dxa" w:w="17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Stavka</w:t>
            </w:r>
          </w:p>
        </w:tc>
        <w:tc>
          <w:tcPr>
            <w:tcW w:type="dxa" w:w="10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327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Urađeno</w:t>
            </w:r>
          </w:p>
        </w:tc>
        <w:tc>
          <w:tcPr>
            <w:tcW w:type="dxa" w:w="327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Napomena / preostalo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Custom dizajn</w:t>
            </w:r>
          </w:p>
        </w:tc>
        <w:tc>
          <w:tcPr>
            <w:tcW w:type="dxa" w:w="104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Poseban storefront prilagođen brendu, sa sopstvenim vizuelnim sistemom i komponentama.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Klijentsko estetsko prihvatanje je odvojeno od tehničke implementacije.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Responsive desktop/mobile</w:t>
            </w:r>
          </w:p>
        </w:tc>
        <w:tc>
          <w:tcPr>
            <w:tcW w:type="dxa" w:w="104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Prilagođeni desktop i mobilni layout, navigacija, kartice proizvoda i checkout.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Početna strana</w:t>
            </w:r>
          </w:p>
        </w:tc>
        <w:tc>
          <w:tcPr>
            <w:tcW w:type="dxa" w:w="104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Banneri, hero slajdovi, promo traka, tabovi, akcijski blokovi i CMS raspored.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Kategorije i akcijske strane</w:t>
            </w:r>
          </w:p>
        </w:tc>
        <w:tc>
          <w:tcPr>
            <w:tcW w:type="dxa" w:w="104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Kategorije, kolekcije, akcija, nedeljna akcija, noviteti, outlet, posebne ponude i hero proizvodi.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Detalj proizvoda</w:t>
            </w:r>
          </w:p>
        </w:tc>
        <w:tc>
          <w:tcPr>
            <w:tcW w:type="dxa" w:w="104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Slike, video/3D podrška, cene i ranija cena, bedževi, piktogrami, dimenzije, materijali, isporuka, povezani proizvodi i sticky add-to-cart.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Deo kvaliteta zavisi od potpunosti podataka dobavljača.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Pretraga</w:t>
            </w:r>
          </w:p>
        </w:tc>
        <w:tc>
          <w:tcPr>
            <w:tcW w:type="dxa" w:w="104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Instant predlozi od tri karaktera, puna pretraga i tačna/približna poklapanja.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Korpa</w:t>
            </w:r>
          </w:p>
        </w:tc>
        <w:tc>
          <w:tcPr>
            <w:tcW w:type="dxa" w:w="104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Izmena količina, uklanjanje, predlozi kupovine, obračun cena, vaučera i dostave.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Osnovni checkout</w:t>
            </w:r>
          </w:p>
        </w:tc>
        <w:tc>
          <w:tcPr>
            <w:tcW w:type="dxa" w:w="104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Gost i prijavljeni kupac, fizičko/pravno lice, adrese, dostava, pregled i kreiranje porudžbine.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Platni kanal se ocenjuje zasebno.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Registracija i prijava</w:t>
            </w:r>
          </w:p>
        </w:tc>
        <w:tc>
          <w:tcPr>
            <w:tcW w:type="dxa" w:w="104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Email registracija, potvrda adrese, prijava, reset lozinke i politike sesije.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Google je konfigurisan; ostali social login-i nisu deo osnovne ugovorne obaveze.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Osnovni korisnički nalog</w:t>
            </w:r>
          </w:p>
        </w:tc>
        <w:tc>
          <w:tcPr>
            <w:tcW w:type="dxa" w:w="104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Profil, adrese, poslovni podaci, istorija porudžbina i podešavanja.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Dodatno postoje wishlista, upozorenja, reklamacije i GDPR funkcije.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Admin pregled porudžbina</w:t>
            </w:r>
          </w:p>
        </w:tc>
        <w:tc>
          <w:tcPr>
            <w:tcW w:type="dxa" w:w="104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Lista, detalj, statusi, dokumenti, plaćanje, dostava, štampa i povezani logistički tokovi.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CMS/admin sadržaj</w:t>
            </w:r>
          </w:p>
        </w:tc>
        <w:tc>
          <w:tcPr>
            <w:tcW w:type="dxa" w:w="104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Banneri, početna, promo traka, tabovi, kategorije, piktogrami, sadržajne i landing strane.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Obim je širi od osnovnog CMS opisa.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XML/proizvodi/cene/stanje</w:t>
            </w:r>
          </w:p>
        </w:tc>
        <w:tc>
          <w:tcPr>
            <w:tcW w:type="dxa" w:w="104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DELIMIČNO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Generički XML/XLSX sistem i Rabalux uvoz postoje; kataloški i lager podaci se obrađuju.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Samo jedna potvrđena kompletna spoljna dobavljačka integracija; web prodaja Rabalux lagera je trenutno isključena.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Email potvrde</w:t>
            </w:r>
          </w:p>
        </w:tc>
        <w:tc>
          <w:tcPr>
            <w:tcW w:type="dxa" w:w="104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Potvrda porudžbine, promene statusa, fiskalni dokumenti, profakture/računi i prateći PDF dokumenti.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Operativne greške isporuke emaila i dalje se prate.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Kartično plaćanje</w:t>
            </w:r>
          </w:p>
        </w:tc>
        <w:tc>
          <w:tcPr>
            <w:tcW w:type="dxa" w:w="104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ČEKA SPOLJA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WS Pay je zamenjen Raiffeisen rešenjem. Tehnička osnova postoji i integracija se završava.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Čeka se dokumentacija i produkcioni podaci banke; trenutno ne treba tvrditi da je kartično plaćanje produkciono aktivno.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Dva dobavljača</w:t>
            </w:r>
          </w:p>
        </w:tc>
        <w:tc>
          <w:tcPr>
            <w:tcW w:type="dxa" w:w="104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DELIMIČNO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Rabalux je implementiran; postoji proširiva arhitektura i import infrastruktura.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Drugi stvarni dobavljač nije kompletiran. Formulacija 'do dva' traži proveru koji pristupi i podaci su dostavljeni.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Dve kurirske službe</w:t>
            </w:r>
          </w:p>
        </w:tc>
        <w:tc>
          <w:tcPr>
            <w:tcW w:type="dxa" w:w="104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DELIMIČNO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MyGLS i X Express adapteri, pošiljke, nalepnice, statusi i webhook tokovi.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MyGLS je prihvaćen; X Express čeka završno produkciono prihvatanje/test nalog.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Fiskalni računi/statusi</w:t>
            </w:r>
          </w:p>
        </w:tc>
        <w:tc>
          <w:tcPr>
            <w:tcW w:type="dxa" w:w="104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DELIMIČNO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Fiskalni dokumenti, refundacije, retry, PDF i statusna automatizacija postoje.</w:t>
            </w:r>
          </w:p>
        </w:tc>
        <w:tc>
          <w:tcPr>
            <w:tcW w:type="dxa" w:w="3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BADI produkciona konfiguracija i povezani PFR uslovi nisu zatvoreni.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Dobavljači, lager i pravilo web dostupnosti</w:t>
      </w:r>
    </w:p>
    <w:p>
      <w:r>
        <w:rPr>
          <w:rFonts w:ascii="Calibri" w:hAnsi="Calibri" w:eastAsia="Calibri"/>
          <w:i w:val="0"/>
          <w:color w:val="172B36"/>
          <w:sz w:val="22"/>
        </w:rPr>
        <w:t>Rabalux integracija nije samo ručni unos: postoji automatizovan kataloški/stock tok, evidencija sinhronizacije, promene, mapiranje kategorija i obrada dobavljačkog lagera. Ipak, to je jedna spoljna dobavljačka integracija; DC uvoz iz CSV/XLSX-a nije isto što i drugi dobavljač.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 xml:space="preserve">Operativna napomena: </w:t>
            </w:r>
            <w:r>
              <w:rPr>
                <w:rFonts w:ascii="Calibri" w:hAnsi="Calibri" w:eastAsia="Calibri"/>
                <w:color w:val="172B36"/>
                <w:sz w:val="22"/>
              </w:rPr>
              <w:t>Produkcija trenutno koristi ENFORCE_WEB_AUTO_AVAILABILITY=false. Ne treba uključivati strogu automatsku dostupnost dok DC lager ne bude uvezen i proveren. DC je jedna 'kutija' koja se puni iz CSV/XLSX-a i može ručno da se ispravlja; Rabalux je druga 'kutija' koja zadržava poslednji uspešno primenjen Serbia XLSX, oduzima rezervacije i sigurnosnu jedinicu, a kupcu prikazuje samo dostupnost kod dobavljača i rok, ne tačnu količinu.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i w:val="0"/>
          <w:color w:val="172B36"/>
          <w:sz w:val="22"/>
        </w:rPr>
        <w:t>Bez uspešnog Rabalux opažanja artikal ostaje nedostupan. Bezbedan rollback stroge politike je vraćanje ENFORCE_WEB_AUTO_AVAILABILITY=false i novi deploy.</w:t>
      </w:r>
    </w:p>
    <w:p>
      <w:pPr>
        <w:pStyle w:val="Heading1"/>
        <w:keepNext/>
      </w:pPr>
      <w:r>
        <w:t>5. Mini ERP - ugovoreni obim i stvarno urađeno</w:t>
      </w:r>
    </w:p>
    <w:p>
      <w:pPr>
        <w:pStyle w:val="Heading2"/>
        <w:keepNext/>
      </w:pPr>
      <w:r>
        <w:t>5.1. Šta ugovor naziva Mini ERP-om</w:t>
      </w:r>
    </w:p>
    <w:p>
      <w:r>
        <w:rPr>
          <w:rFonts w:ascii="Calibri" w:hAnsi="Calibri" w:eastAsia="Calibri"/>
          <w:i w:val="0"/>
          <w:color w:val="172B36"/>
          <w:sz w:val="22"/>
        </w:rPr>
        <w:t>Potpisani ugovor u okviru Faze 1 izričito obuhvata sledeće poslovne celine: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domaće i uvozne ulazne fakture;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nabavne i maloprodajne cene;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akcijske periode i prioritete;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osnovne knjigovodstvene izveštaje, uključujući kalkulacije i nivelacije;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više lokacija/magacina, COGS, lager i rezervacije;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API za stanje i rezervacije;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interne i eksterne otpremnice; zbirno fakturisanje i SEF;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popise, narudžbenice dobavljačima i osnovne izveštaje.</w:t>
      </w:r>
    </w:p>
    <w:p>
      <w:pPr>
        <w:pStyle w:val="Heading2"/>
        <w:keepNext/>
      </w:pPr>
      <w:r>
        <w:t>5.2. Detaljna ERP matrica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  <w:tblInd w:w="120" w:type="dxa"/>
      </w:tblPr>
      <w:tblGrid>
        <w:gridCol w:w="1750"/>
        <w:gridCol w:w="1050"/>
        <w:gridCol w:w="1700"/>
        <w:gridCol w:w="4860"/>
      </w:tblGrid>
      <w:tr>
        <w:trPr>
          <w:tblHeader w:val="true"/>
          <w:cantSplit w:val="true"/>
        </w:trPr>
        <w:tc>
          <w:tcPr>
            <w:tcW w:type="dxa" w:w="17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ERP celina</w:t>
            </w:r>
          </w:p>
        </w:tc>
        <w:tc>
          <w:tcPr>
            <w:tcW w:type="dxa" w:w="10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Odnos prema obimu</w:t>
            </w:r>
          </w:p>
        </w:tc>
        <w:tc>
          <w:tcPr>
            <w:tcW w:type="dxa" w:w="4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Šta je implementirano / šta nedostaje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Matični podaci artikala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Šifarnik, statusi, ERP polja, mediji, kanali, kategorije, pakovanja, zalihe i atomski XLSX uvoz.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Matični podaci dobavljača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Cenovnik, valuta, paritet, rokovi, loading lokacije i dobavljački parametri.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Baza kupaca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PROŠIRENJE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CRM-lite šifarnik fizičkih lica i firmi, kontaktni, poreski i adresni podaci.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Nabavne cene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Istorija nabavnih cena po artiklu i dobavljaču.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Nabavne porudžbenice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Kreiranje, detalji, statusi, zaključavanje, prijem, povezani dokumenti i magacin prijema.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PDF/XLSX nabavnih porudžbenica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PROŠIRENJE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Generisanje formalnih dokumenata i izvoza, iznad kratkog ugovornog opisa.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Slanje porudžbenice dobavljaču</w:t>
            </w:r>
          </w:p>
        </w:tc>
        <w:tc>
          <w:tcPr>
            <w:tcW w:type="dxa" w:w="105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DELIMIČNO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OPERATIVNO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Email tok postoji u širem sistemu, ali interni ERP zahtev ga ne vodi kao konačno prihvaćen poslovni tok.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Ulazne fakture / prijemnice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Neto, PDV, bruto, valuta, veze, raspodela zavisnih troškova, knjiženje i zaključavanje.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COGS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Raspodela zavisnih troškova i ponderisani prosečni trošak nabavke po jedinici.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Cenovnici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 + VIŠE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Datirani MP, nabavni, VP i INO cenovnici, sa istorijom i stavkama.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Akcijske cene/prioriteti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Veza akcija i artikala, periodi, prioriteti i izbor aktivne cene.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Loyalty pravila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FAZA 2 / PROŠIRENJE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Datirana pravila za ulogovane kupce, kategorije/proizvode i istorija loyalty cena.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Linearne promocije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PROŠIRENJE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Globalni, kategorijski i grupni popusti sa kontrolama i prioritetima.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Magacini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Višemagacinski šifarnik, podrazumevani DC, status i upravljanje lokacijama.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Lager i kretanja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Fizičko, rezervisano, raspoloživo i dolazeće stanje, neizmenjiva kretanja i pregled po magacinima.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Rezervacije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Rezervacije za web i druge naloge, dobavljački i DC izvori, sigurnosne kontrole.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Partner API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 + VIŠE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Scope bearer ključevi, rate limit, audit i idempotentne rezervacije.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Popisi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Očekivano/prebrojano/razlika, transakciono knjiženje i prateća dokumentacija.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Prodajni nalozi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PROŠIRENJE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Jedinstveni WEB, MP, VP i INO pregled, ručni nalozi, snimak podataka, rezervacije i statusi.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Predračuni/proforme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PROŠIRENJE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Generisanje proforma dokumenata za prodajne naloge.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Otpremnice</w:t>
            </w:r>
          </w:p>
        </w:tc>
        <w:tc>
          <w:tcPr>
            <w:tcW w:type="dxa" w:w="105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DELIMIČNO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CRUD, knjiženje, kupčeve i interne otpremnice, PDF/XLSX; eOtpremnica sandbox acceptance nije završen.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Nalozi za preuzimanje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PROŠIRENJE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Pickup batches, manifesti, štampa i kurirska priprema; spoljni ugovori ograničavaju produkciono slanje.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Fiskalizacija i refundacija</w:t>
            </w:r>
          </w:p>
        </w:tc>
        <w:tc>
          <w:tcPr>
            <w:tcW w:type="dxa" w:w="105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DELIMIČNO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Administracija, idempotentno izdavanje/refund, lager povrat, PDF i retry; produkcioni BADI čeka spoljne uslove.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SEF</w:t>
            </w:r>
          </w:p>
        </w:tc>
        <w:tc>
          <w:tcPr>
            <w:tcW w:type="dxa" w:w="105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DELIMIČNO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Klijent, rute i priprema postoje; produkciona verifikacija i eksterno prihvatanje nisu potvrđeni.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Kalkulacije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Nabavna vrednost i raspodela zavisnih troškova.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Nivelacije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U UGOVORU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Predlog i objava MP cena sa tragom promene.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</w:pPr>
      <w:r>
        <w:t>5.2.1. Granica punog ERP-a i dodatni kontrolni moduli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  <w:tblInd w:w="120" w:type="dxa"/>
      </w:tblPr>
      <w:tblGrid>
        <w:gridCol w:w="1750"/>
        <w:gridCol w:w="1050"/>
        <w:gridCol w:w="1700"/>
        <w:gridCol w:w="4860"/>
      </w:tblGrid>
      <w:tr>
        <w:trPr>
          <w:tblHeader w:val="true"/>
          <w:cantSplit w:val="true"/>
        </w:trPr>
        <w:tc>
          <w:tcPr>
            <w:tcW w:type="dxa" w:w="17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ERP celina</w:t>
            </w:r>
          </w:p>
        </w:tc>
        <w:tc>
          <w:tcPr>
            <w:tcW w:type="dxa" w:w="10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Odnos prema obimu</w:t>
            </w:r>
          </w:p>
        </w:tc>
        <w:tc>
          <w:tcPr>
            <w:tcW w:type="dxa" w:w="4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Šta je implementirano / šta nedostaje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Knjigovodstveni registri</w:t>
            </w:r>
          </w:p>
        </w:tc>
        <w:tc>
          <w:tcPr>
            <w:tcW w:type="dxa" w:w="105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NIJE 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PUN ERP, NE UGOVOR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Formalni registri, evidencija prometa, storna i refundacija nisu prihvaćeni kao kompletan zakonski modul; nisu deo kratkog ugovornog opisa osnovnih izveštaja.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KEP knjiga</w:t>
            </w:r>
          </w:p>
        </w:tc>
        <w:tc>
          <w:tcPr>
            <w:tcW w:type="dxa" w:w="105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NIJE URAĐENO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PUN ERP, NE UGOVOR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Nije implementirana kao zakonski prihvaćen registar i ne predstavlja ugovorni nedostatak Mini ERP-a iz Faze 1.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Kontrolna tabla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PROŠIRENJE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Porudžbine, promet, reklamacije, zalihe, roba u dolasku, posete, top artikli i niski lager.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Izveštajni centar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PROŠIRENJE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Role-aware ulaz u poslovne, QA, analytics i audit izveštaje sa XLSX izvozima.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Audit log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PROŠIRENJE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Pregled promena, komandi i partnerskih API događaja, ograničen administratorskim ulogama.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Kontrola neobjavljenih artikala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PROŠIRENJE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Za svaki blokirani artikal prikazuje precizan razlog nedostupnosti/objave.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5.3. Da li je ovo zaista 'Mini ERP'?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A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Ocena: </w:t>
            </w:r>
            <w:r>
              <w:rPr>
                <w:rFonts w:ascii="Calibri" w:hAnsi="Calibri" w:eastAsia="Calibri"/>
                <w:color w:val="172B36"/>
                <w:sz w:val="22"/>
              </w:rPr>
              <w:t>Naziv Mini ERP je prihvatljiv samo ako znači ERP ograničen na potrebe ovog web-shopa. Po funkcionalnoj širini, implementacija je veća od tipičnog mini modula: obuhvata nabavku, cenovnike, COGS, više magacina, rezervacije, OMS, dokumente, CRM-lite, fiskalne tokove, logistiku, izveštaje, API i audit. Najprecizniji tehnički opis je prošireni custom commerce ERP sa OMS i WMS-lite funkcijama.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i w:val="0"/>
          <w:color w:val="172B36"/>
          <w:sz w:val="22"/>
        </w:rPr>
        <w:t>S druge strane, sistem nije pun general-purpose ERP niti kompletan računovodstveni paket, jer nema završenu glavnu knjigu, formalne knjigovodstvene registre, KEP i potpuno produkciono prihvaćene državne/spoljne integracije. Zbog toga se ne sme predstavljati kao kompletna zamena za računovodstveni ERP.</w:t>
      </w:r>
    </w:p>
    <w:p>
      <w:r>
        <w:rPr>
          <w:rFonts w:ascii="Calibri" w:hAnsi="Calibri" w:eastAsia="Calibri"/>
          <w:i w:val="0"/>
          <w:color w:val="172B36"/>
          <w:sz w:val="22"/>
        </w:rPr>
        <w:t>Praktičan zaključak za razgovor sa klijentom: osnovne poslovne celine iz ugovornog Mini ERP-a uglavnom jesu realizovane, ali je uz njih urađen značajan dodatni operativni sloj koji ugovor nije pojedinačno nabrojao.</w:t>
      </w:r>
    </w:p>
    <w:p>
      <w:pPr>
        <w:pStyle w:val="Heading1"/>
        <w:keepNext/>
      </w:pPr>
      <w:r>
        <w:t>6. Newsletter - detaljan pregled</w:t>
      </w:r>
    </w:p>
    <w:p>
      <w:r>
        <w:rPr>
          <w:rFonts w:ascii="Calibri" w:hAnsi="Calibri" w:eastAsia="Calibri"/>
          <w:i w:val="0"/>
          <w:color w:val="172B36"/>
          <w:sz w:val="22"/>
        </w:rPr>
        <w:t>U potpisanoj Fazi 1 nije ugovoren napredni newsletter sistem. Projektni plan pominje newsletter prijavu na sajtu, ali to nije isto što i kompletan centar za kontakte, saglasnosti, segmentaciju, izradu, odobravanje, zakazivanje, slanje i analitiku kampanja. Zbog toga se napredni newsletter centar klasifikuje kao dodatno urađen modul.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  <w:tblInd w:w="120" w:type="dxa"/>
      </w:tblPr>
      <w:tblGrid>
        <w:gridCol w:w="1780"/>
        <w:gridCol w:w="1050"/>
        <w:gridCol w:w="3910"/>
        <w:gridCol w:w="2620"/>
      </w:tblGrid>
      <w:tr>
        <w:trPr>
          <w:tblHeader w:val="true"/>
          <w:cantSplit w:val="true"/>
        </w:trPr>
        <w:tc>
          <w:tcPr>
            <w:tcW w:type="dxa" w:w="17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Newsletter funkcija</w:t>
            </w:r>
          </w:p>
        </w:tc>
        <w:tc>
          <w:tcPr>
            <w:tcW w:type="dxa" w:w="10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39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Šta postoji</w:t>
            </w:r>
          </w:p>
        </w:tc>
        <w:tc>
          <w:tcPr>
            <w:tcW w:type="dxa" w:w="262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Ocena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Newsletter polje na sajtu</w:t>
            </w:r>
          </w:p>
        </w:tc>
        <w:tc>
          <w:tcPr>
            <w:tcW w:type="dxa" w:w="105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URAĐENO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Forma i API za prijavu sa neutralnim odgovorom koji ne otkriva status adrese.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Osnovni očekivani deo storefronta.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Double opt-in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Token za potvrdu, rok važenja, potvrda emaila i aktiviranje kontakta.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Napredna saglasnost, nije samo upis emaila.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Evidencija saglasnosti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Verzija saglasnosti/politike, izvor, događaji, vreme i dokaz migracije ili potvrde.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Važno za usklađenost i dokazivost.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Statusi kontakta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PENDING, ACTIVE, UNSUBSCRIBED i SUPPRESSED.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Odvojeno upravljanje aktivnim i zabranjenim adresama.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Sinhronizacija sa nalogom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Marketing saglasnost korisničkog naloga se povezuje sa centralnim marketing kontaktom.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Odjava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Potpisan unsubscribe link, evidencija povlačenja saglasnosti i isključivanje iz budućih kampanja.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Automatska suppression lista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Bounce, complaint i provider suppression automatski blokiraju marketinško slanje.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CSV/XLSX uvoz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Provera fajla, preview, kontrolisani upis, izvori, tag/lista i automatsko formiranje publike.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Nije pomenuto u ugovoru.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Publike/segmenti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Čuvanje publika, procena broja, kombinovanje više publika, fiksna ili dinamička lista.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Napredni filteri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Izvor, tag, datum prijave, registracija, grad, jezik, broj porudžbina, potrošnja, poslednja kupovina, SKU, kategorija, vaučer, otvaranje i klik.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Ovo je CRM/marketing automatizacija, ne običan newsletter formular.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Editor kampanje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Blokovi: naslov, tekst, slika, dugme, proizvodi, vaučer i razdelnik.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Proizvodi u newsletteru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Automatsko povlačenje slike, javne dostupnosti, aktuelne cene i linka; nedostupni proizvodi se izostavljaju.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HTML i tekst verzija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Responsive HTML email i plain-text verzija sa odjavom.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Preview i test poruka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Vizuelni pregled kampanje i slanje test emaila.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Šabloni i verzije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Čuvanje kampanje kao šablona, istorija verzija i dupliranje kampanje.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Review/approval tok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Nacrt, provera, odobrenje i obavezni drugi administrator za velike kampanje.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Smanjuje rizik masovnog pogrešnog slanja.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Zakazivanje i slanje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Zakazano ili odmah, background job, idempotentnost, otkazivanje i retry neuspelih kampanja.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Produkcioni rad zavisi od provider postavki.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Email provider</w:t>
            </w:r>
          </w:p>
        </w:tc>
        <w:tc>
          <w:tcPr>
            <w:tcW w:type="dxa" w:w="105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DELIMIČNO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Podržani Resend/SES tokovi; trenutna aplikacija ima Resend osnovu.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Pre poslovnog puštanja proveriti promotions topic, webhook potpis i sender domen.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Analitika kampanje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Primaoci, isporučeno, otvoreno, klik, bounce, complaint, odjava i greške po kampanji/primaocu.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Zaštita od pogrešnog slanja</w:t>
            </w:r>
          </w:p>
        </w:tc>
        <w:tc>
          <w:tcPr>
            <w:tcW w:type="dxa" w:w="105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6"/>
              </w:rPr>
              <w:t>DODATNO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Preflight publike, saglasnosti, proizvoda, provider konfiguracije i suppression provera.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6"/>
              </w:rPr>
              <w:t>-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F4EA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Newsletter zaključak: </w:t>
            </w:r>
            <w:r>
              <w:rPr>
                <w:rFonts w:ascii="Calibri" w:hAnsi="Calibri" w:eastAsia="Calibri"/>
                <w:color w:val="172B36"/>
                <w:sz w:val="22"/>
              </w:rPr>
              <w:t>Napravljen je pun marketing newsletter centar, a ne samo polje za prijavu. Po obimu uključuje elemente email marketing platforme: consent management, contact database, segmentaciju, campaign builder, approval workflow, zakazivanje, provider slanje i analitiku. To je jasno dodatni razvoj van osnovnog Mini ERP-a i van izričito ugovorene Faze 1.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Funkcionalnosti iz Faze 2 koje su već urađene</w:t>
      </w:r>
    </w:p>
    <w:p>
      <w:pPr>
        <w:pStyle w:val="Heading2"/>
        <w:keepNext/>
      </w:pPr>
      <w:r>
        <w:t>7.1. Napredni reklamacioni sistem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  <w:tblInd w:w="120" w:type="dxa"/>
      </w:tblPr>
      <w:tblGrid>
        <w:gridCol w:w="2200"/>
        <w:gridCol w:w="1200"/>
        <w:gridCol w:w="59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Celina</w:t>
            </w:r>
          </w:p>
        </w:tc>
        <w:tc>
          <w:tcPr>
            <w:tcW w:type="dxa" w:w="1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5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Stvarno stanje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Kreiranje reklamacije</w:t>
            </w:r>
          </w:p>
        </w:tc>
        <w:tc>
          <w:tcPr>
            <w:tcW w:type="dxa" w:w="120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Iz korisničkog naloga i kao gost preko bezbednog linka.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Pretraga kupovine</w:t>
            </w:r>
          </w:p>
        </w:tc>
        <w:tc>
          <w:tcPr>
            <w:tcW w:type="dxa" w:w="120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Po porudžbini ili fiskalnom računu, uz proveru podobnosti/isporuke.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Artikal i količina</w:t>
            </w:r>
          </w:p>
        </w:tc>
        <w:tc>
          <w:tcPr>
            <w:tcW w:type="dxa" w:w="120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Izbor konkretne stavke i preostale količine za reklamiranje.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Podaci kupca</w:t>
            </w:r>
          </w:p>
        </w:tc>
        <w:tc>
          <w:tcPr>
            <w:tcW w:type="dxa" w:w="120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Automatsko popunjavanje i mogućnost korekcije kontaktnih podataka.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Opis i fotografije</w:t>
            </w:r>
          </w:p>
        </w:tc>
        <w:tc>
          <w:tcPr>
            <w:tcW w:type="dxa" w:w="120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Opis problema i privatno čuvanje fotografija uz kontrolu broja/veličine.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R-numeracija</w:t>
            </w:r>
          </w:p>
        </w:tc>
        <w:tc>
          <w:tcPr>
            <w:tcW w:type="dxa" w:w="120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Automatski broj reklamacije i sled događaja/statusa.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Email/status portal</w:t>
            </w:r>
          </w:p>
        </w:tc>
        <w:tc>
          <w:tcPr>
            <w:tcW w:type="dxa" w:w="120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Potvrda prijema, promene statusa i korisničko praćenje.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Admin dnevnik</w:t>
            </w:r>
          </w:p>
        </w:tc>
        <w:tc>
          <w:tcPr>
            <w:tcW w:type="dxa" w:w="120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Rokovi, odluke, rešavanje, beleške i operativni zadaci.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Povrat/zamena/logistika</w:t>
            </w:r>
          </w:p>
        </w:tc>
        <w:tc>
          <w:tcPr>
            <w:tcW w:type="dxa" w:w="120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Povezivanje sa magacinom, povratom, zamenom i kurirskim tokom.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Analitika i izvoz</w:t>
            </w:r>
          </w:p>
        </w:tc>
        <w:tc>
          <w:tcPr>
            <w:tcW w:type="dxa" w:w="1200"/>
            <w:shd w:fill="E7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URAĐENO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Pregledi po dobavljaču, proizvodu, vrsti i rešenju, uz XLSX izvoz.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Skrivanje rešenih posle 10 dana</w:t>
            </w:r>
          </w:p>
        </w:tc>
        <w:tc>
          <w:tcPr>
            <w:tcW w:type="dxa" w:w="120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NIJE URAĐENO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Projektni plan predviđa skrivanje sa naloga; trenutni listing nema taj filter.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7.2. Ostale stavke Faze 2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  <w:tblInd w:w="120" w:type="dxa"/>
      </w:tblPr>
      <w:tblGrid>
        <w:gridCol w:w="2450"/>
        <w:gridCol w:w="1200"/>
        <w:gridCol w:w="5710"/>
      </w:tblGrid>
      <w:tr>
        <w:trPr>
          <w:tblHeader w:val="true"/>
          <w:cantSplit w:val="true"/>
        </w:trPr>
        <w:tc>
          <w:tcPr>
            <w:tcW w:type="dxa" w:w="2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Stavka</w:t>
            </w:r>
          </w:p>
        </w:tc>
        <w:tc>
          <w:tcPr>
            <w:tcW w:type="dxa" w:w="1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57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Ocena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Google automatizacija oglasa</w:t>
            </w:r>
          </w:p>
        </w:tc>
        <w:tc>
          <w:tcPr>
            <w:tcW w:type="dxa" w:w="120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DELIMIČNO</w:t>
            </w:r>
          </w:p>
        </w:tc>
        <w:tc>
          <w:tcPr>
            <w:tcW w:type="dxa" w:w="5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Google feed, izbor proizvoda i budžetske postavke postoje; nema pune Google Ads API kampanjske automatizacije.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Meta oglasi/nalozi</w:t>
            </w:r>
          </w:p>
        </w:tc>
        <w:tc>
          <w:tcPr>
            <w:tcW w:type="dxa" w:w="1200"/>
            <w:shd w:fill="EFEF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IZBAČENO</w:t>
            </w:r>
          </w:p>
        </w:tc>
        <w:tc>
          <w:tcPr>
            <w:tcW w:type="dxa" w:w="5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Prema naknadnoj odluci više se ne rade i ne vode kao neispunjena stavka.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Viber poruke</w:t>
            </w:r>
          </w:p>
        </w:tc>
        <w:tc>
          <w:tcPr>
            <w:tcW w:type="dxa" w:w="120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DELIMIČNO</w:t>
            </w:r>
          </w:p>
        </w:tc>
        <w:tc>
          <w:tcPr>
            <w:tcW w:type="dxa" w:w="5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Segmentacija, kampanje, personalizacija i transport/webhook osnova postoje; produkcioni provajder i kompletno slanje nisu aktivni.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Loyalty</w:t>
            </w:r>
          </w:p>
        </w:tc>
        <w:tc>
          <w:tcPr>
            <w:tcW w:type="dxa" w:w="120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DELIMIČNO</w:t>
            </w:r>
          </w:p>
        </w:tc>
        <w:tc>
          <w:tcPr>
            <w:tcW w:type="dxa" w:w="5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Pravila i cene za ulogovane kupce postoje; napredna personalizacija po istoriji kupovine nije kompletna.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Sačuvane kartice</w:t>
            </w:r>
          </w:p>
        </w:tc>
        <w:tc>
          <w:tcPr>
            <w:tcW w:type="dxa" w:w="120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NIJE URAĐENO</w:t>
            </w:r>
          </w:p>
        </w:tc>
        <w:tc>
          <w:tcPr>
            <w:tcW w:type="dxa" w:w="5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Modeli i API osnova postoje, ali nema tokenizacije i korišćenja kartice u checkoutu.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Personalizovane ponude</w:t>
            </w:r>
          </w:p>
        </w:tc>
        <w:tc>
          <w:tcPr>
            <w:tcW w:type="dxa" w:w="120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DELIMIČNO</w:t>
            </w:r>
          </w:p>
        </w:tc>
        <w:tc>
          <w:tcPr>
            <w:tcW w:type="dxa" w:w="5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Wishlista, restock/akcijska upozorenja i cross-sell postoje; individualne ponude po ponašanju nisu kompletne.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Više dobavljača/kurira</w:t>
            </w:r>
          </w:p>
        </w:tc>
        <w:tc>
          <w:tcPr>
            <w:tcW w:type="dxa" w:w="120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NIJE URAĐENO</w:t>
            </w:r>
          </w:p>
        </w:tc>
        <w:tc>
          <w:tcPr>
            <w:tcW w:type="dxa" w:w="5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Nisu pronađene dodatne kompletne produkcione integracije iznad osnovnog ugovorenog broja.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Ostalo dodatno urađeno van eksplicitnog obima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  <w:tblInd w:w="120" w:type="dxa"/>
      </w:tblPr>
      <w:tblGrid>
        <w:gridCol w:w="2400"/>
        <w:gridCol w:w="1200"/>
        <w:gridCol w:w="57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Dodatni modul</w:t>
            </w:r>
          </w:p>
        </w:tc>
        <w:tc>
          <w:tcPr>
            <w:tcW w:type="dxa" w:w="1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5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Šta je urađeno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TikTok katalog/feed</w:t>
            </w:r>
          </w:p>
        </w:tc>
        <w:tc>
          <w:tcPr>
            <w:tcW w:type="dxa" w:w="120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DODATNO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Javni feed za TikTok commerce/katalog, iako su u mejlu navedeni Google i Meta.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Napredna analitika</w:t>
            </w:r>
          </w:p>
        </w:tc>
        <w:tc>
          <w:tcPr>
            <w:tcW w:type="dxa" w:w="120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DODATNO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First-party događaji, posete, konverzije, GA4 ecommerce i marketinški događaji uz consent kontrole.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Administratorske uloge</w:t>
            </w:r>
          </w:p>
        </w:tc>
        <w:tc>
          <w:tcPr>
            <w:tcW w:type="dxa" w:w="120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DODATNO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Više nivoa pristupa, server-side autorizacija i odvajanje operativnih/marketing/super privilegija.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Audit log</w:t>
            </w:r>
          </w:p>
        </w:tc>
        <w:tc>
          <w:tcPr>
            <w:tcW w:type="dxa" w:w="120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DODATNO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Evidencija promena, administratorskih komandi i partner API događaja.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GDPR funkcije</w:t>
            </w:r>
          </w:p>
        </w:tc>
        <w:tc>
          <w:tcPr>
            <w:tcW w:type="dxa" w:w="120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DODATNO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Izvoz korisničkih podataka, zahtev za brisanje naloga, cookie/analytics saglasnosti i marketing consent trag.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Bezbednost privatnih fajlova</w:t>
            </w:r>
          </w:p>
        </w:tc>
        <w:tc>
          <w:tcPr>
            <w:tcW w:type="dxa" w:w="120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DODATNO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Privatni računi, reklamacije i dokumenti se ne izlažu javnim URL-ovima; koriste se kontrolisani pristupi/potpisi.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Background jobs i monitoring</w:t>
            </w:r>
          </w:p>
        </w:tc>
        <w:tc>
          <w:tcPr>
            <w:tcW w:type="dxa" w:w="120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DODATNO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Retry, idempotentnost, zdravstvene provere, sistemski status, job queue i operativne kontrole.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Napredni importi</w:t>
            </w:r>
          </w:p>
        </w:tc>
        <w:tc>
          <w:tcPr>
            <w:tcW w:type="dxa" w:w="120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DODATNO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Uvozi artikala, slika/dokumenata, dobavljačkih podataka, newsletter kontakata i kontrolni preview tokovi.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Landing stranice</w:t>
            </w:r>
          </w:p>
        </w:tc>
        <w:tc>
          <w:tcPr>
            <w:tcW w:type="dxa" w:w="120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DODATNO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CRUD landing stranica sa sekcijama, periodima, proizvodima i statusom objave.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QA dostupnosti kataloga</w:t>
            </w:r>
          </w:p>
        </w:tc>
        <w:tc>
          <w:tcPr>
            <w:tcW w:type="dxa" w:w="120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72B36"/>
                <w:sz w:val="17"/>
              </w:rPr>
              <w:t>DODATNO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Razlog zašto artikal nije objavljen/kupiv, kontrola dimenzija, lagera, dobavljača i web pravila.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i w:val="0"/>
          <w:color w:val="172B36"/>
          <w:sz w:val="22"/>
        </w:rPr>
        <w:t>Napomena: bezbednost, GDPR, monitoring i audit jesu dodatni tehnički rad, ali ih ne treba automatski predstavljati kao posebne komercijalne funkcionalnosti. Deo toga je nužan za profesionalan i bezbedan rad sistema.</w:t>
      </w:r>
    </w:p>
    <w:p>
      <w:pPr>
        <w:pStyle w:val="Heading1"/>
        <w:keepNext/>
      </w:pPr>
      <w:r>
        <w:t>9. Šta nije završeno ili ne treba predstavljati kao završeno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  <w:tblInd w:w="120" w:type="dxa"/>
      </w:tblPr>
      <w:tblGrid>
        <w:gridCol w:w="2450"/>
        <w:gridCol w:w="2050"/>
        <w:gridCol w:w="4860"/>
      </w:tblGrid>
      <w:tr>
        <w:trPr>
          <w:tblHeader w:val="true"/>
          <w:cantSplit w:val="true"/>
        </w:trPr>
        <w:tc>
          <w:tcPr>
            <w:tcW w:type="dxa" w:w="2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Otvorena tačka</w:t>
            </w:r>
          </w:p>
        </w:tc>
        <w:tc>
          <w:tcPr>
            <w:tcW w:type="dxa" w:w="20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Vlasnik/zavisnost</w:t>
            </w:r>
          </w:p>
        </w:tc>
        <w:tc>
          <w:tcPr>
            <w:tcW w:type="dxa" w:w="4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Šta tačno nedostaje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Raiffeisen kartično plaćanje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Banka / projektni tim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Čeka dokumentaciju i produkcione podatke banke; završiti integraciju i produkcioni acceptance.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Drugi dobavljač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Klijent + dobavljač + tim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Potvrditi kog dobavljača, format podataka, pristupe i acceptance kriterijume.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X Express produkcija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Kurir + tim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Zameniti test nalog produkcionim i potvrditi kompletan create/cancel/status/label tok.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BADI fiskalizacija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Fiskalni provider + tim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Produkciona konfiguracija, lokacija/PFR i test stvarnog izdavanja/refunda.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SEF/eOtpremnica acceptance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Spoljni servisi + tim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Produkcioni pristupi i end-to-end potvrda.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Formalni knjigovodstveni registri/KEP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Poseban obim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Nije završen pun računovodstveni modul; ne predstavljati sistem kao kompletan računovodstveni ERP.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Google Ads puna automatizacija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Faza 2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Feed nije isto što i automatsko kreiranje/optimizacija kampanja.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Viber produkciono slanje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Faza 2 / provider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Potreban provider, ugovor, kredencijali i završno povezivanje scheduler-a/slanja.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Sačuvane kartice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Faza 2 / banka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Potreban provider tokenization i checkout upotreba.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Napredna personalizacija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Faza 2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Individualne ponude zasnovane na istoriji ponašanja/kupovine nisu kompletne.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Meta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NEMA OBAVEZE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Izbačeno aktuelnom odlukom; sačuvati pisanu potvrdu da ne bi kasnije bilo spora oko obima.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Bitne izmene i odstupanja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  <w:tblInd w:w="120" w:type="dxa"/>
      </w:tblPr>
      <w:tblGrid>
        <w:gridCol w:w="2350"/>
        <w:gridCol w:w="1600"/>
        <w:gridCol w:w="5410"/>
      </w:tblGrid>
      <w:tr>
        <w:trPr>
          <w:tblHeader w:val="true"/>
          <w:cantSplit w:val="true"/>
        </w:trPr>
        <w:tc>
          <w:tcPr>
            <w:tcW w:type="dxa" w:w="23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Tema</w:t>
            </w:r>
          </w:p>
        </w:tc>
        <w:tc>
          <w:tcPr>
            <w:tcW w:type="dxa" w:w="1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54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Kako je treba komunicirati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WS Pay -&gt; Raiffeisen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Dogovorena zamena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Ne tretirati kao neurađen WS Pay ako postoji pisana potvrda zamene. Dok banka ne dostavi dokumente, status je 'čeka spolja', ne 'završeno'.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Meta integracije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Izbačeno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Ne voditi kao otvorenu obavezu. Sačuvati email/poruku odluke o izbacivanju.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Popust prve kupovine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Odstupanje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Projektni plan navodi 5%, dok aplikacija koristi 15%. Potrebno je potvrditi poslovnu odluku pre klijentske komunikacije.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Nazivi kurira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Fleksibilan izbor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Mejl kaže 'najverovatnije' Gebrüder Weiss i Daily Express; ugovor traži dve službe bez fiksnih imena. MyGLS/X Express mogu ispuniti broj kada oba prođu acceptance.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Word projektni plan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Mešovite faze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B36"/>
                <w:sz w:val="17"/>
              </w:rPr>
              <w:t>Plan sadrži i osnovne i napredne funkcije, pa se ne može automatski tretirati kao lista obaveza Faze 1.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Preporučena pozicija prema klijentu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72B36"/>
          <w:sz w:val="22"/>
        </w:rPr>
        <w:t>Prvo odvojiti potpisanu Fazu 1 od funkcionalnosti koje su mejlom stavljene u Fazu 2.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72B36"/>
          <w:sz w:val="22"/>
        </w:rPr>
        <w:t>Priznati otvorene tačke Faze 1: Raiffeisen acceptance, drugi dobavljač ako su obezbeđeni uslovi, drugi kurir u produkciji i završetak fiskalnih/spoljnih prihvatanja.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72B36"/>
          <w:sz w:val="22"/>
        </w:rPr>
        <w:t>Jasno pokazati da je ugovoreni Mini ERP uglavnom realizovan i da je dodatno proširen OMS, CRM-lite, logističkim, analitičkim i kontrolnim modulima.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72B36"/>
          <w:sz w:val="22"/>
        </w:rPr>
        <w:t>Napredne reklamacije navesti kao najveći već urađen deo Faze 2.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72B36"/>
          <w:sz w:val="22"/>
        </w:rPr>
        <w:t>Newsletter predstaviti kao posebno dodatno razvijen marketinški sistem, a ne kao deo osnovne newsletter forme ili Mini ERP-a.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72B36"/>
          <w:sz w:val="22"/>
        </w:rPr>
        <w:t>Google feed i podešavanja ne predstavljati kao završenu naprednu Ads automatizaciju.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72B36"/>
          <w:sz w:val="22"/>
        </w:rPr>
        <w:t>Meta voditi kao naknadno izbačeno, pod uslovom da postoji ili se pribavi pisana potvrda.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72B36"/>
          <w:sz w:val="22"/>
        </w:rPr>
        <w:t>Svaki novi zahtev staviti u jednu od tri kolone: Faza 1 i preostalo; Faza 2 i potreban aneks; potpuno novi zahtev i nova ponuda.</w:t>
      </w:r>
    </w:p>
    <w:p>
      <w:pPr>
        <w:pStyle w:val="Heading1"/>
        <w:keepNext/>
      </w:pPr>
      <w:r>
        <w:t>12. Predlog kratkog internog zaključka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A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Tekst za tim: </w:t>
            </w:r>
            <w:r>
              <w:rPr>
                <w:rFonts w:ascii="Calibri" w:hAnsi="Calibri" w:eastAsia="Calibri"/>
                <w:color w:val="172B36"/>
                <w:sz w:val="22"/>
              </w:rPr>
              <w:t>Osnovni web-shop i većina ugovorenog Mini ERP-a su realizovani. Mini ERP je u praksi proširen u operativni commerce ERP sa nabavkom, cenama, više magacina, rezervacijama, prodajnim nalozima, dokumentima, logistikom, CRM-lite funkcijama, izveštajima i auditom. Nije kompletan računovodstveni ERP, jer formalni registri/KEP i deo spoljnih produkcionih prihvatanja nisu završeni. Pored Faze 1, već su urađene napredne reklamacije i pun newsletter marketing centar, kao i delovi loyalty, Viber i Google infrastrukture. Otvorene ugovorne tačke treba zatvoriti odvojeno, a sve nove zahteve vezati za aneks, rok i cenu.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Tehnička potvrda i ograničenja izveštaja</w:t>
      </w:r>
    </w:p>
    <w:p>
      <w:r>
        <w:rPr>
          <w:rFonts w:ascii="Calibri" w:hAnsi="Calibri" w:eastAsia="Calibri"/>
          <w:i w:val="0"/>
          <w:color w:val="172B36"/>
          <w:sz w:val="22"/>
        </w:rPr>
        <w:t>Produkcioni build aplikacije je uspešno prošao u trenutku tehničke provere. Interna ERP matrica sadrži 67 detaljnih stavki šireg razvojnog plana: 48 se vode kao implementirane, 2 kao delimične, 3 kao blokirane spoljnim preduslovima i 14 kao odložene odlukom korisnika. Ova interna matrica je šira od potpisanog ugovora i zato se njene 67 stavke ne smeju automatski predstavljati kao 67 ugovornih obaveza.</w:t>
      </w:r>
    </w:p>
    <w:p>
      <w:r>
        <w:rPr>
          <w:rFonts w:ascii="Calibri" w:hAnsi="Calibri" w:eastAsia="Calibri"/>
          <w:i w:val="0"/>
          <w:color w:val="172B36"/>
          <w:sz w:val="22"/>
        </w:rPr>
        <w:t>Ovaj dokument ocenjuje postojanje funkcionalnosti u kodu i trenutnu operativnu spremnost. Ne potvrđuje pravnu obaveznost mejla ili projektnog plana, niti zamenjuje formalni UAT/acceptance potpis klijenta i eksternih provajdera.</w:t>
      </w:r>
    </w:p>
    <w:p>
      <w:pPr>
        <w:pStyle w:val="Heading1"/>
        <w:keepNext/>
      </w:pPr>
      <w:r>
        <w:t>14. Izvori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Potpisani dokument: /Users/luka/Downloads/Web shop ugovor.pdf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Projektni plan: /Users/luka/Downloads/Web shop SPC 2 (2).docx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Mejlovska podela Faze 1 i Faze 2 dostavljena u razgovoru.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ERP matrica: src/lib/admin/erp-requirements.ts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Newsletter: src/lib/newsletter/*, src/app/admin/newsletter/* i Prisma newsletter modeli.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B36"/>
          <w:sz w:val="22"/>
        </w:rPr>
        <w:t>Ostali tehnički izvori: reklamacije, plaćanja, kuriri, fiskalizacija, SEF, feedovi, analitika i dostupnost u odgovarajućim src/lib i admin/customer modulima, uz runtime provere.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67" w:right="1440" w:bottom="112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F78"/>
        <w:sz w:val="18"/>
      </w:rPr>
      <w:t xml:space="preserve">Strana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5F6F78"/>
        <w:sz w:val="17"/>
      </w:rPr>
      <w:t>INTERNI IZVEŠTAJ | WEB SHOP I MINI ERP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Calibri" w:hAnsi="Calibri" w:eastAsia="Calibri"/>
      <w:b w:val="0"/>
      <w:color w:val="172B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59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9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Izveštaj o realizovanom obimu web-shopa i Mini ERP sistema</dc:title>
  <dc:subject>Ugovoreni, realizovani, dodatni i otvoreni obim</dc:subject>
  <dc:creator>Svet Povoljnih Cena - interni pregled</dc:creator>
  <cp:keywords>web shop, Mini ERP, newsletter, faza 1, faza 2, izveštaj</cp:keywords>
  <dc:description>Tehnički činjenični presek; nije pravno mišljenje.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