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A4D0" w14:textId="77777777" w:rsidR="00554AE3" w:rsidRDefault="00554AE3" w:rsidP="00554AE3">
      <w:pPr>
        <w:pStyle w:val="papertitle"/>
        <w:spacing w:before="100" w:beforeAutospacing="1" w:after="100" w:afterAutospacing="1"/>
      </w:pPr>
      <w:r w:rsidRPr="006E7F9F">
        <w:t>Detecting Genuine vs Fake Facial Emotions Using Machine Vision</w:t>
      </w:r>
      <w:r>
        <w:t xml:space="preserve"> </w:t>
      </w:r>
    </w:p>
    <w:p w14:paraId="71364F42" w14:textId="5D57665E" w:rsidR="00B331EB" w:rsidRDefault="00554AE3">
      <w:pPr>
        <w:spacing w:after="0" w:line="240" w:lineRule="auto"/>
        <w:rPr>
          <w:rFonts w:ascii="Times New Roman" w:hAnsi="Times New Roman"/>
          <w:sz w:val="20"/>
        </w:rPr>
      </w:pPr>
      <w:r>
        <w:tab/>
      </w:r>
      <w:r>
        <w:tab/>
      </w:r>
      <w:r w:rsidRPr="00554AE3">
        <w:rPr>
          <w:rFonts w:ascii="Times New Roman" w:hAnsi="Times New Roman"/>
          <w:sz w:val="20"/>
        </w:rPr>
        <w:t>Mark Paulraj</w:t>
      </w:r>
    </w:p>
    <w:p w14:paraId="0DF8AF5C" w14:textId="576492E4" w:rsidR="00554AE3" w:rsidRDefault="00554AE3">
      <w:pPr>
        <w:spacing w:after="0" w:line="240" w:lineRule="auto"/>
      </w:pPr>
      <w:r>
        <w:rPr>
          <w:rFonts w:ascii="Times New Roman" w:hAnsi="Times New Roman"/>
          <w:sz w:val="20"/>
        </w:rPr>
        <w:tab/>
      </w:r>
      <w:r>
        <w:rPr>
          <w:rFonts w:ascii="Times New Roman" w:hAnsi="Times New Roman"/>
          <w:sz w:val="20"/>
        </w:rPr>
        <w:tab/>
      </w:r>
      <w:r w:rsidRPr="00554AE3">
        <w:rPr>
          <w:rFonts w:ascii="Times New Roman" w:hAnsi="Times New Roman"/>
          <w:sz w:val="20"/>
        </w:rPr>
        <w:t>CS 7367</w:t>
      </w:r>
      <w:r>
        <w:rPr>
          <w:rFonts w:ascii="Times New Roman" w:hAnsi="Times New Roman"/>
          <w:sz w:val="20"/>
        </w:rPr>
        <w:t xml:space="preserve"> – Machine Vision</w:t>
      </w:r>
    </w:p>
    <w:p w14:paraId="45FCC868" w14:textId="77777777" w:rsidR="00B331EB" w:rsidRDefault="00B331EB">
      <w:pPr>
        <w:spacing w:after="0" w:line="240" w:lineRule="auto"/>
      </w:pPr>
    </w:p>
    <w:p w14:paraId="76117794" w14:textId="77777777" w:rsidR="00B331EB" w:rsidRDefault="00B331EB">
      <w:pPr>
        <w:spacing w:after="0" w:line="240" w:lineRule="auto"/>
      </w:pPr>
    </w:p>
    <w:p w14:paraId="1EEC30C5" w14:textId="77777777" w:rsidR="00B331EB" w:rsidRDefault="00B331EB">
      <w:pPr>
        <w:spacing w:after="0" w:line="240" w:lineRule="auto"/>
      </w:pPr>
    </w:p>
    <w:p w14:paraId="39B64361" w14:textId="77777777" w:rsidR="00B331EB" w:rsidRDefault="00B331EB">
      <w:pPr>
        <w:spacing w:after="0" w:line="240" w:lineRule="auto"/>
      </w:pPr>
    </w:p>
    <w:p w14:paraId="6F99518E" w14:textId="77777777" w:rsidR="00B331EB" w:rsidRPr="00B331EB" w:rsidRDefault="00B331EB" w:rsidP="00B331EB">
      <w:pPr>
        <w:spacing w:after="0" w:line="240" w:lineRule="auto"/>
        <w:rPr>
          <w:b/>
          <w:bCs/>
        </w:rPr>
      </w:pPr>
      <w:r w:rsidRPr="00B331EB">
        <w:rPr>
          <w:rFonts w:ascii="Times New Roman" w:hAnsi="Times New Roman"/>
          <w:b/>
          <w:bCs/>
          <w:sz w:val="20"/>
        </w:rPr>
        <w:t>Introduction</w:t>
      </w:r>
    </w:p>
    <w:p w14:paraId="67DA94CB" w14:textId="77777777" w:rsidR="00B331EB" w:rsidRPr="00B331EB" w:rsidRDefault="00B331EB" w:rsidP="00B331EB">
      <w:pPr>
        <w:spacing w:after="0" w:line="240" w:lineRule="auto"/>
      </w:pPr>
      <w:r>
        <w:t>Facial expression analysis is a core problem in machine vision because it connects low-level visual perception with high-level human-centered understanding. In real settings such as online learning, remote collaboration, telehealth, customer service, and assistive technologies, systems are expected not only to detect a visible expression but also to interpret whether that expression reflects a true internal affective state. This distinction is essential because downstream decisions based on emotional signals can be unreliable when expressions are intentionally posed or socially masked.</w:t>
      </w:r>
    </w:p>
    <w:p w14:paraId="478B1247" w14:textId="77777777" w:rsidR="00B331EB" w:rsidRPr="00B331EB" w:rsidRDefault="00B331EB" w:rsidP="00B331EB">
      <w:pPr>
        <w:spacing w:after="0" w:line="240" w:lineRule="auto"/>
      </w:pPr>
      <w:r>
        <w:t>Most traditional facial emotion recognition pipelines focus on categorical classification (for example, happiness, sadness, anger, fear, surprise, disgust, and neutrality) using static images. While these approaches have improved significantly with deep learning and larger datasets, they often treat every visible expression as equally authentic. In practice, however, expression authenticity is nuanced: people may smile to be polite, suppress negative affect in professional settings, or exaggerate expressions in social media and staged recordings. Therefore, authenticity-aware recognition is a necessary extension of standard emotion classification.</w:t>
      </w:r>
    </w:p>
    <w:p w14:paraId="3D49022A" w14:textId="77777777" w:rsidR="00B331EB" w:rsidRPr="00B331EB" w:rsidRDefault="00B331EB" w:rsidP="00B331EB">
      <w:pPr>
        <w:spacing w:after="0" w:line="240" w:lineRule="auto"/>
      </w:pPr>
      <w:r>
        <w:t>Psychological and behavioral studies provide important grounding for this challenge. Work on the Facial Action Coding System (FACS) demonstrates that genuine and posed expressions can differ in activation patterns of facial action units, intensity symmetry, and timing dynamics. For smiles in particular, Duchenne-like indicators involving the periocular region are frequently associated with genuine affect, whereas non-Duchenne patterns are more common in deliberate social signaling. These findings motivate computational features that examine not only mouth shape but also eye-region behavior and coordinated facial muscle activity.</w:t>
      </w:r>
    </w:p>
    <w:p w14:paraId="34E4CCF7" w14:textId="77777777" w:rsidR="00B331EB" w:rsidRPr="00B331EB" w:rsidRDefault="00000000" w:rsidP="00B331EB">
      <w:pPr>
        <w:spacing w:after="0" w:line="240" w:lineRule="auto"/>
      </w:pPr>
      <w:r>
        <w:rPr>
          <w:rFonts w:ascii="Times New Roman" w:hAnsi="Times New Roman"/>
          <w:sz w:val="20"/>
        </w:rPr>
        <w:pict w14:anchorId="2A4175D4">
          <v:rect id="_x0000_i1025" style="width:0;height:1.5pt" o:hralign="center" o:hrstd="t" o:hr="t" fillcolor="#a0a0a0" stroked="f"/>
        </w:pict>
      </w:r>
    </w:p>
    <w:p>
      <w:pPr/>
      <w:r>
        <w:t>Related work in computer vision and affective computing has introduced strong baselines for expression recognition through convolutional models, transfer learning, and large-scale datasets such as FER-2013 and AffectNet. These contributions establish robust emotion prediction under varied imaging conditions, but many benchmarks prioritize label accuracy over authenticity discrimination. As a result, models may perform well on posed datasets while still failing to distinguish naturally occurring expressions from imitative ones in realistic scenarios.</w:t>
      </w:r>
    </w:p>
    <w:p>
      <w:pPr/>
      <w:r>
        <w:t>To address this gap, this project frames emotion understanding as a two-level inference problem: first, detect and classify the observable expression; second, estimate the likelihood that the observed expression is genuine versus artificial. This framing supports a hybrid strategy that combines data-driven inference with interpretable facial landmark analysis. By examining geometric cues such as smile symmetry, eye aspect variation, and temporal consistency across frames, the system seeks to produce authenticity-aware outputs that are both practical and explainable.</w:t>
      </w:r>
    </w:p>
    <w:p>
      <w:pPr/>
      <w:r>
        <w:t>The broader significance of this work is methodological as well as application-oriented. Methodologically, it explores how lightweight, interpretable heuristics can complement deep models in real-time pipelines without requiring computationally expensive end-to-end retraining. Application-wise, it contributes to safer and more trustworthy human-computer interaction by surfacing uncertainty and authenticity signals instead of presenting categorical emotion labels as absolute truth.</w:t>
      </w:r>
    </w:p>
    <w:p>
      <w:pPr/>
      <w:r>
        <w:t>In summary, the introduction establishes the need for machine vision systems that move beyond expression labeling toward authenticity-sensitive interpretation. The remainder of this report reviews the core limitations in current practice, presents the proposed architecture and implementation, evaluates performance and behavior, and discusses limitations, ethical considerations, and future directions for genuine-versus-posed facial emotion analysis.</w:t>
      </w:r>
    </w:p>
    <w:p w14:paraId="4897F30D" w14:textId="77777777" w:rsidR="00B331EB" w:rsidRPr="00B331EB" w:rsidRDefault="00B331EB" w:rsidP="00B331EB">
      <w:pPr>
        <w:spacing w:after="0" w:line="240" w:lineRule="auto"/>
        <w:rPr>
          <w:b/>
          <w:bCs/>
        </w:rPr>
      </w:pPr>
      <w:r w:rsidRPr="00B331EB">
        <w:rPr>
          <w:rFonts w:ascii="Times New Roman" w:hAnsi="Times New Roman"/>
          <w:b/>
          <w:bCs/>
          <w:sz w:val="20"/>
        </w:rPr>
        <w:t>Problems with the Topic or Area</w:t>
      </w:r>
    </w:p>
    <w:p w14:paraId="085412F7" w14:textId="77777777" w:rsidR="00B331EB" w:rsidRPr="00B331EB" w:rsidRDefault="00B331EB" w:rsidP="00B331EB">
      <w:pPr>
        <w:spacing w:after="0" w:line="240" w:lineRule="auto"/>
      </w:pPr>
      <w:r w:rsidRPr="00B331EB">
        <w:rPr>
          <w:rFonts w:ascii="Times New Roman" w:hAnsi="Times New Roman"/>
          <w:sz w:val="20"/>
        </w:rPr>
        <w:t>Although many machine learning models exist for facial emotion recognition, most systems have several limitations:</w:t>
      </w:r>
    </w:p>
    <w:p w14:paraId="1C684E05" w14:textId="77777777" w:rsidR="00B331EB" w:rsidRPr="00B331EB" w:rsidRDefault="00B331EB" w:rsidP="00B331EB">
      <w:pPr>
        <w:numPr>
          <w:ilvl w:val="0"/>
          <w:numId w:val="1"/>
        </w:numPr>
        <w:spacing w:after="0" w:line="240" w:lineRule="auto"/>
      </w:pPr>
      <w:r w:rsidRPr="00B331EB">
        <w:rPr>
          <w:rFonts w:ascii="Times New Roman" w:hAnsi="Times New Roman"/>
          <w:sz w:val="20"/>
        </w:rPr>
        <w:t xml:space="preserve">They primarily classify emotions but </w:t>
      </w:r>
      <w:r w:rsidRPr="00B331EB">
        <w:rPr>
          <w:rFonts w:ascii="Times New Roman" w:hAnsi="Times New Roman"/>
          <w:b/>
          <w:bCs/>
          <w:sz w:val="20"/>
        </w:rPr>
        <w:t>do not evaluate the authenticity of the expression</w:t>
      </w:r>
      <w:r w:rsidRPr="00B331EB">
        <w:rPr>
          <w:rFonts w:ascii="Times New Roman" w:hAnsi="Times New Roman"/>
          <w:sz w:val="20"/>
        </w:rPr>
        <w:t>.</w:t>
      </w:r>
    </w:p>
    <w:p w14:paraId="6885E9CF" w14:textId="77777777" w:rsidR="00B331EB" w:rsidRPr="00B331EB" w:rsidRDefault="00B331EB" w:rsidP="00B331EB">
      <w:pPr>
        <w:numPr>
          <w:ilvl w:val="0"/>
          <w:numId w:val="1"/>
        </w:numPr>
        <w:spacing w:after="0" w:line="240" w:lineRule="auto"/>
      </w:pPr>
      <w:r w:rsidRPr="00B331EB">
        <w:rPr>
          <w:rFonts w:ascii="Times New Roman" w:hAnsi="Times New Roman"/>
          <w:sz w:val="20"/>
        </w:rPr>
        <w:t xml:space="preserve">Traditional emotion detection models rely heavily on </w:t>
      </w:r>
      <w:r w:rsidRPr="00B331EB">
        <w:rPr>
          <w:rFonts w:ascii="Times New Roman" w:hAnsi="Times New Roman"/>
          <w:b/>
          <w:bCs/>
          <w:sz w:val="20"/>
        </w:rPr>
        <w:t>static facial features</w:t>
      </w:r>
      <w:r w:rsidRPr="00B331EB">
        <w:rPr>
          <w:rFonts w:ascii="Times New Roman" w:hAnsi="Times New Roman"/>
          <w:sz w:val="20"/>
        </w:rPr>
        <w:t>, ignoring subtle facial muscle movements.</w:t>
      </w:r>
    </w:p>
    <w:p w14:paraId="74679BCA" w14:textId="77777777" w:rsidR="00B331EB" w:rsidRPr="00B331EB" w:rsidRDefault="00B331EB" w:rsidP="00B331EB">
      <w:pPr>
        <w:numPr>
          <w:ilvl w:val="0"/>
          <w:numId w:val="1"/>
        </w:numPr>
        <w:spacing w:after="0" w:line="240" w:lineRule="auto"/>
      </w:pPr>
      <w:r w:rsidRPr="00B331EB">
        <w:rPr>
          <w:rFonts w:ascii="Times New Roman" w:hAnsi="Times New Roman"/>
          <w:sz w:val="20"/>
        </w:rPr>
        <w:t xml:space="preserve">Genuine emotions often involve </w:t>
      </w:r>
      <w:r w:rsidRPr="00B331EB">
        <w:rPr>
          <w:rFonts w:ascii="Times New Roman" w:hAnsi="Times New Roman"/>
          <w:b/>
          <w:bCs/>
          <w:sz w:val="20"/>
        </w:rPr>
        <w:t>micro-expressions and eye muscle activation</w:t>
      </w:r>
      <w:r w:rsidRPr="00B331EB">
        <w:rPr>
          <w:rFonts w:ascii="Times New Roman" w:hAnsi="Times New Roman"/>
          <w:sz w:val="20"/>
        </w:rPr>
        <w:t>, which are difficult for standard models to capture.</w:t>
      </w:r>
    </w:p>
    <w:p w14:paraId="45D07C4F" w14:textId="77777777" w:rsidR="00B331EB" w:rsidRPr="00B331EB" w:rsidRDefault="00B331EB" w:rsidP="00B331EB">
      <w:pPr>
        <w:numPr>
          <w:ilvl w:val="0"/>
          <w:numId w:val="1"/>
        </w:numPr>
        <w:spacing w:after="0" w:line="240" w:lineRule="auto"/>
      </w:pPr>
      <w:r w:rsidRPr="00B331EB">
        <w:rPr>
          <w:rFonts w:ascii="Times New Roman" w:hAnsi="Times New Roman"/>
          <w:sz w:val="20"/>
        </w:rPr>
        <w:t xml:space="preserve">Many datasets used for emotion detection contain </w:t>
      </w:r>
      <w:r w:rsidRPr="00B331EB">
        <w:rPr>
          <w:rFonts w:ascii="Times New Roman" w:hAnsi="Times New Roman"/>
          <w:b/>
          <w:bCs/>
          <w:sz w:val="20"/>
        </w:rPr>
        <w:t>posed expressions</w:t>
      </w:r>
      <w:r w:rsidRPr="00B331EB">
        <w:rPr>
          <w:rFonts w:ascii="Times New Roman" w:hAnsi="Times New Roman"/>
          <w:sz w:val="20"/>
        </w:rPr>
        <w:t>, which may not represent real-world emotional behavior.</w:t>
      </w:r>
    </w:p>
    <w:p w14:paraId="6A3DBA23" w14:textId="77777777" w:rsidR="00B331EB" w:rsidRPr="00B331EB" w:rsidRDefault="00B331EB" w:rsidP="00B331EB">
      <w:pPr>
        <w:spacing w:after="0" w:line="240" w:lineRule="auto"/>
      </w:pPr>
      <w:r w:rsidRPr="00B331EB">
        <w:rPr>
          <w:rFonts w:ascii="Times New Roman" w:hAnsi="Times New Roman"/>
          <w:sz w:val="20"/>
        </w:rPr>
        <w:t>These challenges create an opportunity to explore improved approaches that combine facial landmark analysis and machine learning to detect expression authenticity.</w:t>
      </w:r>
    </w:p>
    <w:p w14:paraId="5D1ACFF1" w14:textId="77777777" w:rsidR="00B331EB" w:rsidRPr="00B331EB" w:rsidRDefault="00000000" w:rsidP="00B331EB">
      <w:pPr>
        <w:spacing w:after="0" w:line="240" w:lineRule="auto"/>
      </w:pPr>
      <w:r>
        <w:rPr>
          <w:rFonts w:ascii="Times New Roman" w:hAnsi="Times New Roman"/>
          <w:sz w:val="20"/>
        </w:rPr>
        <w:pict w14:anchorId="2C51FD17">
          <v:rect id="_x0000_i1026" style="width:0;height:1.5pt" o:hralign="center" o:hrstd="t" o:hr="t" fillcolor="#a0a0a0" stroked="f"/>
        </w:pict>
      </w:r>
    </w:p>
    <w:p w14:paraId="68A83AB9" w14:textId="77777777" w:rsidR="00B331EB" w:rsidRPr="00B331EB" w:rsidRDefault="00B331EB" w:rsidP="00B331EB">
      <w:pPr>
        <w:spacing w:after="0" w:line="240" w:lineRule="auto"/>
        <w:rPr>
          <w:b/>
          <w:bCs/>
        </w:rPr>
      </w:pPr>
      <w:r w:rsidRPr="00B331EB">
        <w:rPr>
          <w:rFonts w:ascii="Times New Roman" w:hAnsi="Times New Roman"/>
          <w:b/>
          <w:bCs/>
          <w:sz w:val="20"/>
        </w:rPr>
        <w:t>Proposed Solution / Anticipated Outcome</w:t>
      </w:r>
    </w:p>
    <w:p w14:paraId="18E1B3CF" w14:textId="77777777" w:rsidR="00B331EB" w:rsidRPr="00B331EB" w:rsidRDefault="00B331EB" w:rsidP="00B331EB">
      <w:pPr>
        <w:spacing w:after="0" w:line="240" w:lineRule="auto"/>
      </w:pPr>
      <w:r w:rsidRPr="00B331EB">
        <w:rPr>
          <w:rFonts w:ascii="Times New Roman" w:hAnsi="Times New Roman"/>
          <w:sz w:val="20"/>
        </w:rPr>
        <w:t xml:space="preserve">The proposed system will use </w:t>
      </w:r>
      <w:r w:rsidRPr="00B331EB">
        <w:rPr>
          <w:rFonts w:ascii="Times New Roman" w:hAnsi="Times New Roman"/>
          <w:b/>
          <w:bCs/>
          <w:sz w:val="20"/>
        </w:rPr>
        <w:t>computer vision and facial landmark detection techniques</w:t>
      </w:r>
      <w:r w:rsidRPr="00B331EB">
        <w:rPr>
          <w:rFonts w:ascii="Times New Roman" w:hAnsi="Times New Roman"/>
          <w:sz w:val="20"/>
        </w:rPr>
        <w:t xml:space="preserve"> to identify whether a facial emotion is genuine or fake. The project will utilize a publicly available facial emotion dataset and apply pre-trained models to detect emotions from images or webcam video.</w:t>
      </w:r>
    </w:p>
    <w:p w14:paraId="25BBD58E" w14:textId="77777777" w:rsidR="00B331EB" w:rsidRPr="00B331EB" w:rsidRDefault="00B331EB" w:rsidP="00B331EB">
      <w:pPr>
        <w:spacing w:after="0" w:line="240" w:lineRule="auto"/>
      </w:pPr>
      <w:r w:rsidRPr="00B331EB">
        <w:rPr>
          <w:rFonts w:ascii="Times New Roman" w:hAnsi="Times New Roman"/>
          <w:sz w:val="20"/>
        </w:rPr>
        <w:t xml:space="preserve">The system will analyze facial features such as </w:t>
      </w:r>
      <w:r w:rsidRPr="00B331EB">
        <w:rPr>
          <w:rFonts w:ascii="Times New Roman" w:hAnsi="Times New Roman"/>
          <w:b/>
          <w:bCs/>
          <w:sz w:val="20"/>
        </w:rPr>
        <w:t>mouth curvature, eye movement, and facial landmark positions</w:t>
      </w:r>
      <w:r w:rsidRPr="00B331EB">
        <w:rPr>
          <w:rFonts w:ascii="Times New Roman" w:hAnsi="Times New Roman"/>
          <w:sz w:val="20"/>
        </w:rPr>
        <w:t xml:space="preserve"> to identify patterns associated with genuine expressions, such as Duchenne smiles. A rule-based or lightweight machine learning classifier will then determine whether the emotion is likely genuine or artificially expressed.</w:t>
      </w:r>
    </w:p>
    <w:p w14:paraId="31FC7BC2" w14:textId="77777777" w:rsidR="00B331EB" w:rsidRPr="00B331EB" w:rsidRDefault="00B331EB" w:rsidP="00B331EB">
      <w:pPr>
        <w:spacing w:after="0" w:line="240" w:lineRule="auto"/>
      </w:pPr>
      <w:r w:rsidRPr="00B331EB">
        <w:rPr>
          <w:rFonts w:ascii="Times New Roman" w:hAnsi="Times New Roman"/>
          <w:sz w:val="20"/>
        </w:rPr>
        <w:t xml:space="preserve">The anticipated outcome is a </w:t>
      </w:r>
      <w:r w:rsidRPr="00B331EB">
        <w:rPr>
          <w:rFonts w:ascii="Times New Roman" w:hAnsi="Times New Roman"/>
          <w:b/>
          <w:bCs/>
          <w:sz w:val="20"/>
        </w:rPr>
        <w:t>real-time machine vision application capable of detecting emotions and estimating their authenticity</w:t>
      </w:r>
      <w:r w:rsidRPr="00B331EB">
        <w:rPr>
          <w:rFonts w:ascii="Times New Roman" w:hAnsi="Times New Roman"/>
          <w:sz w:val="20"/>
        </w:rPr>
        <w:t>, demonstrating how facial landmark analysis can improve emotion recognition systems.</w:t>
      </w:r>
    </w:p>
    <w:p w14:paraId="3E248CC8" w14:textId="77777777" w:rsidR="00B331EB" w:rsidRPr="00B331EB" w:rsidRDefault="00000000" w:rsidP="00B331EB">
      <w:pPr>
        <w:spacing w:after="0" w:line="240" w:lineRule="auto"/>
      </w:pPr>
      <w:r>
        <w:rPr>
          <w:rFonts w:ascii="Times New Roman" w:hAnsi="Times New Roman"/>
          <w:sz w:val="20"/>
        </w:rPr>
        <w:pict w14:anchorId="6067223C">
          <v:rect id="_x0000_i1027" style="width:0;height:1.5pt" o:hralign="center" o:hrstd="t" o:hr="t" fillcolor="#a0a0a0" stroked="f"/>
        </w:pict>
      </w:r>
    </w:p>
    <w:p/>
    <w:p>
      <w:r>
        <w:t>Project Design or Architecture</w:t>
      </w:r>
    </w:p>
    <w:p>
      <w:r>
        <w:t>The proposed system follows a layered architecture designed for modularity, low latency, and local-first privacy. The top layer is a Gradio-based user interface that supports image upload, video upload, and webcam streaming. The UI layer normalizes incoming media into a consistent frame format and delegates all analysis work to dedicated pipelines, which keeps interface logic separate from model logic and improves maintainability.</w:t>
      </w:r>
    </w:p>
    <w:p>
      <w:r>
        <w:t>At the core of the system is a pipeline orchestration layer with three specialized flows: image analysis, video analysis, and webcam frame analysis. Each pipeline executes a shared sequence of operations per frame: face detection, emotion classification, landmark extraction, genuineness assessment, and result rendering. This separation allows each input mode to enforce its own constraints, such as sampled timestamps for video and frame-budget-aware throttling for webcam mode, while still reusing common domain models and result contracts.</w:t>
      </w:r>
    </w:p>
    <w:p>
      <w:r>
        <w:t>The service layer combines classical and deep-learning components. OpenCV Haar Cascade is used for fast face localization, ONNX Runtime performs emotion inference with FER-compatible models, and landmark-based geometry features are extracted through MediaPipe when available, with a deterministic fallback when the landmark model is not present. This hybrid design provides robust behavior across environments and avoids full failure when optional assets are missing.</w:t>
      </w:r>
    </w:p>
    <w:p>
      <w:r>
        <w:t>For authenticity detection, a rule-based assessment module interprets cues linked to Duchenne-style expressions. The module scores smile symmetry, mouth curvature, eye aspect ratio, and cheek raise to estimate whether an expression is genuine, posed, or uncertain. This interpretability-focused component was intentionally chosen over a black-box classifier so that the system can expose reasoning flags to the user and support transparent behavioral analysis.</w:t>
      </w:r>
    </w:p>
    <w:p>
      <w:r>
        <w:t>The architecture also enforces operational and ethical constraints through configuration. Limits on maximum detected faces, image size ceilings, video sampling rate, and webcam latency budget are centralized in configuration files and can be overridden through environment variables. Most importantly, all processing is strictly local with no cloud calls, which preserves user privacy and makes the system appropriate for sensitive contexts such as learning analytics or on-device assistive tools.</w:t>
      </w:r>
    </w:p>
    <w:p/>
    <w:p>
      <w:r>
        <w:t>Implementation and Evaluation of the Proposed Approach</w:t>
      </w:r>
    </w:p>
    <w:p>
      <w:r>
        <w:t>Implementation was completed in Python using a service-oriented code structure under src/facial_emotions. Domain models and contract objects define consistent interfaces between pipelines, services, and UI output. Emotion inference is initialized lazily so application startup remains fast; model sessions are only created when first needed. Preprocessing adapts to model input shape (grayscale or RGB tensors), and FER+ 8-class outputs are remapped to the project’s 7-class public label set by folding contempt into neutral.</w:t>
      </w:r>
    </w:p>
    <w:p>
      <w:r>
        <w:t>The image pipeline supports single-face and multi-face analysis with bounded complexity (up to a configurable maximum number of faces). Input validation and downscaling are applied before inference to keep runtime predictable and to avoid memory pressure on very large images. The video pipeline samples frames at fixed analysis frequency rather than processing every frame, which reduces computational cost while preserving temporal coverage. The webcam pipeline adds session-based frame skipping to maintain responsiveness near real-time constraints.</w:t>
      </w:r>
    </w:p>
    <w:p>
      <w:r>
        <w:t>Evaluation was designed around both correctness and performance requirements. A dataset utility prepares FER-2013 CSV records into class-organized image folders for repeatable benchmarking. The benchmark module computes per-emotion accuracy on held-out splits and reports class-level results, making it easy to detect underperforming labels rather than relying only on aggregate accuracy. The test suite includes contract, unit, and integration tests to validate behavior across interfaces and execution paths.</w:t>
      </w:r>
    </w:p>
    <w:p>
      <w:r>
        <w:t>Performance-focused integration tests confirm that system budgets are achievable under expected conditions. Static image analysis is validated against a 2-second upper bound, webcam frame processing against a 250 ms budget, and short synthetic video processing against end-to-end latency targets. Additional tests verify timestamp alignment for sampled video frames and monotonic ordering of temporal outputs, which is important for downstream interpretation of emotional progression in video streams.</w:t>
      </w:r>
    </w:p>
    <w:p>
      <w:r>
        <w:t>The current implementation demonstrates that combining lightweight detection, ONNX inference, and interpretable landmark heuristics can produce a practical real-time system without cloud dependency. The evaluation framework also provides a path for future model replacement: as stronger emotion models become available, they can be inserted into the existing interface with minimal architectural change while preserving the same validation strategy and performance constraints.</w:t>
      </w:r>
    </w:p>
    <w:p/>
    <w:p>
      <w:r>
        <w:t>Conclusion and Discussion</w:t>
      </w:r>
    </w:p>
    <w:p>
      <w:r>
        <w:t>This project demonstrates a complete machine-vision workflow for facial emotion analysis that extends beyond basic classification into genuine-versus-posed interpretation. The system contributes both an engineering solution and a methodological perspective: emotion recognition should be paired with observable authenticity cues when used in human-centered applications. The resulting prototype supports images, videos, and live webcam streams in a unified and privacy-preserving pipeline.</w:t>
      </w:r>
    </w:p>
    <w:p>
      <w:r>
        <w:t>A key outcome is that interpretable heuristics can add practical value even when deep models handle primary emotion inference. By exposing reasoning flags tied to facial dynamics, the system allows users to understand why a prediction was considered genuine or posed. This transparency is especially important for educational, behavioral, and assistive settings where opaque scores may be difficult to trust or explain.</w:t>
      </w:r>
    </w:p>
    <w:p>
      <w:r>
        <w:t>The project also highlights limitations that remain open for future work. Landmark-derived authenticity signals can be sensitive to head pose, lighting, occlusion, and camera quality. Dataset bias remains a concern because many benchmark datasets include acted expressions that do not fully represent spontaneous affect in real environments. In addition, cultural and individual differences in expressiveness may reduce generalization of fixed heuristic thresholds.</w:t>
      </w:r>
    </w:p>
    <w:p>
      <w:r>
        <w:t>Future improvements should include larger cross-cultural evaluation datasets, temporal modeling of micro-expression dynamics, and adaptive personalization of genuineness thresholds. Replacing heuristic scoring with a calibrated lightweight classifier trained on multimodal features could improve robustness while preserving runtime performance. Additional fairness and ethics audits are also needed before deployment in high-stakes domains.</w:t>
      </w:r>
    </w:p>
    <w:p>
      <w:r>
        <w:t>Overall, the implemented system establishes a strong foundation for local, real-time, and explainable facial emotion analysis. It shows that a modular architecture with explicit performance and privacy constraints can deliver practical results while remaining extensible for research-grade improvements in authenticity detection and affective computing.</w:t>
      </w:r>
    </w:p>
    <w:p w14:paraId="1B399D30" w14:textId="77777777" w:rsidR="00B331EB" w:rsidRPr="00B331EB" w:rsidRDefault="00B331EB" w:rsidP="00B331EB">
      <w:pPr>
        <w:spacing w:after="0" w:line="240" w:lineRule="auto"/>
        <w:rPr>
          <w:b/>
          <w:bCs/>
        </w:rPr>
      </w:pPr>
      <w:r w:rsidRPr="00B331EB">
        <w:rPr>
          <w:rFonts w:ascii="Times New Roman" w:hAnsi="Times New Roman"/>
          <w:b/>
          <w:bCs/>
          <w:sz w:val="20"/>
        </w:rPr>
        <w:t>References</w:t>
      </w:r>
    </w:p>
    <w:p w14:paraId="5DD3EAA4" w14:textId="77777777" w:rsidR="00B331EB" w:rsidRDefault="00B331EB">
      <w:pPr>
        <w:spacing w:after="0" w:line="240" w:lineRule="auto"/>
      </w:pPr>
    </w:p>
    <w:p w14:paraId="3AD74FBE" w14:textId="77777777" w:rsidR="00B331EB" w:rsidRDefault="00B331EB">
      <w:pPr>
        <w:spacing w:after="0" w:line="240" w:lineRule="auto"/>
      </w:pPr>
    </w:p>
    <w:p w14:paraId="33ABAD3E" w14:textId="77777777" w:rsidR="00B331EB" w:rsidRDefault="00B331EB">
      <w:pPr>
        <w:spacing w:after="0" w:line="240" w:lineRule="auto"/>
      </w:pPr>
    </w:p>
    <w:sectPr w:rsidR="00B331EB">
      <w:pgSz w:w="12240" w:h="15840"/>
      <w:pgMar w:top="1440" w:right="1440" w:bottom="1440" w:left="1440" w:header="720" w:footer="720" w:gutter="0"/>
      <w:cols w:num="2" w:space="720"/>
      <w:docGrid w:linePitch="360"/>
    </w:sectPr>
    <w:p>
      <w:r>
        <w:t>[1] P. Ekman and W. V. Friesen, Facial Action Coding System: A Technique for the Measurement of Facial Movement. Palo Alto, CA: Consulting Psychologists Press, 1978.</w:t>
      </w:r>
    </w:p>
    <w:p>
      <w:r>
        <w:t>[2] P. Ekman and W. V. Friesen, "Felt, false, and miserable smiles," J. Nonverbal Behavior, vol. 6, no. 4, pp. 238-252, Summer 1982.</w:t>
      </w:r>
    </w:p>
    <w:p>
      <w:r>
        <w:t>[3] I. J. Goodfellow et al., "Challenges in representation learning: A report on three machine learning contests," in Proc. Int. Conf. Neural Inf. Process. (ICONIP), Daegu, Korea, 2013, pp. 117-124.</w:t>
      </w:r>
    </w:p>
    <w:p>
      <w:r>
        <w:t>[4] E. Barsoum, C. Zhang, C. C. Ferrer, and Z. Zhang, "Training deep networks for facial expression recognition with crowd-sourced label distribution," in Proc. 18th ACM Int. Conf. Multimodal Interaction (ICMI), Santa Monica, CA, USA, 2016, pp. 279-283.</w:t>
      </w:r>
    </w:p>
    <w:p>
      <w:r>
        <w:t>[5] S. Li and W. Deng, "Deep facial expression recognition: A survey," IEEE Trans. Affect. Comput., vol. 13, no. 3, pp. 1195-1215, Jul.-Sep. 2022.</w:t>
      </w:r>
    </w:p>
    <w:p>
      <w:r>
        <w:t>[6] A. Mollahosseini, B. Hasani, and M. H. Mahoor, "AffectNet: A database for facial expression, valence, and arousal computing in the wild," IEEE Trans. Affect. Comput., vol. 10, no. 1, pp. 18-31, Jan.-Mar. 2019.</w:t>
      </w:r>
    </w:p>
    <w:p>
      <w:r>
        <w:t>[7] P. Viola and M. Jones, "Rapid object detection using a boosted cascade of simple features," in Proc. IEEE Conf. Comput. Vis. Pattern Recognit. (CVPR), Kauai, HI, USA, 2001, pp. I-511-I-518.</w:t>
      </w:r>
    </w:p>
    <w:p>
      <w:r>
        <w:t>[8] C. Lugaresi et al., "MediaPipe: A framework for building perception pipelines," in Proc. Workshop on MLSys at Int. Conf. Mach. Learn. (ICML), Long Beach, CA, USA, 2019.</w:t>
      </w:r>
    </w:p>
    <w:p>
      <w:r>
        <w:t>[9] T. Soukupova and J. Cech, "Real-time eye blink detection using facial landmarks," in Proc. 21st Comput. Vis. Winter Workshop (CVWW), Rimske Toplice, Slovenia, 2016.</w:t>
      </w:r>
    </w:p>
    <w:p>
      <w:r>
        <w:t>[10] B. Amos, B. Ludwiczuk, and M. Satyanarayanan, "OpenFace: A general-purpose face recognition library with mobile applications," CMU-CS-16-118, Carnegie Mellon Univ., Pittsburgh, PA, USA, Tech. Rep., 2016.</w:t>
      </w:r>
    </w:p>
    <w:p>
      <w:r>
        <w:t>[11] ONNX Runtime Developers, ONNX Runtime, ver. 1.17. [Online]. Available: https://onnxruntime.ai, 2018.</w:t>
      </w:r>
    </w:p>
    <w:p>
      <w:r>
        <w:t>[12] A. Abid, A. Abdalla, A. Abid, D. Khan, A. Alfozan, and J. Zou, "Gradio: Hassle-free sharing and testing of ML models in the wild," arXiv:1906.02569 [cs.LG], 2019.</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74F3C"/>
    <w:multiLevelType w:val="multilevel"/>
    <w:tmpl w:val="F1A04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BBA646E"/>
    <w:multiLevelType w:val="multilevel"/>
    <w:tmpl w:val="565ED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7390738">
    <w:abstractNumId w:val="1"/>
  </w:num>
  <w:num w:numId="2" w16cid:durableId="1134056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1EB"/>
    <w:rsid w:val="00554AE3"/>
    <w:rsid w:val="00A8694F"/>
    <w:rsid w:val="00B331EB"/>
    <w:rsid w:val="00B541F3"/>
    <w:rsid w:val="00CC2056"/>
    <w:rsid w:val="00D412E7"/>
    <w:rsid w:val="00D74A69"/>
    <w:rsid w:val="00EB108F"/>
    <w:rsid w:val="00EE08C6"/>
    <w:rsid w:val="00EE7BC1"/>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D6AAE"/>
  <w15:chartTrackingRefBased/>
  <w15:docId w15:val="{4E9CB8C3-93F6-4C4E-B2BD-1FB933BA5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1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31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31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31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31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31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1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1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1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1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31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31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31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31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31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1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1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1EB"/>
    <w:rPr>
      <w:rFonts w:eastAsiaTheme="majorEastAsia" w:cstheme="majorBidi"/>
      <w:color w:val="272727" w:themeColor="text1" w:themeTint="D8"/>
    </w:rPr>
  </w:style>
  <w:style w:type="paragraph" w:styleId="Title">
    <w:name w:val="Title"/>
    <w:basedOn w:val="Normal"/>
    <w:next w:val="Normal"/>
    <w:link w:val="TitleChar"/>
    <w:uiPriority w:val="10"/>
    <w:qFormat/>
    <w:rsid w:val="00B3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1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1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1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1EB"/>
    <w:pPr>
      <w:spacing w:before="160"/>
      <w:jc w:val="center"/>
    </w:pPr>
    <w:rPr>
      <w:i/>
      <w:iCs/>
      <w:color w:val="404040" w:themeColor="text1" w:themeTint="BF"/>
    </w:rPr>
  </w:style>
  <w:style w:type="character" w:customStyle="1" w:styleId="QuoteChar">
    <w:name w:val="Quote Char"/>
    <w:basedOn w:val="DefaultParagraphFont"/>
    <w:link w:val="Quote"/>
    <w:uiPriority w:val="29"/>
    <w:rsid w:val="00B331EB"/>
    <w:rPr>
      <w:i/>
      <w:iCs/>
      <w:color w:val="404040" w:themeColor="text1" w:themeTint="BF"/>
    </w:rPr>
  </w:style>
  <w:style w:type="paragraph" w:styleId="ListParagraph">
    <w:name w:val="List Paragraph"/>
    <w:basedOn w:val="Normal"/>
    <w:uiPriority w:val="34"/>
    <w:qFormat/>
    <w:rsid w:val="00B331EB"/>
    <w:pPr>
      <w:ind w:left="720"/>
      <w:contextualSpacing/>
    </w:pPr>
  </w:style>
  <w:style w:type="character" w:styleId="IntenseEmphasis">
    <w:name w:val="Intense Emphasis"/>
    <w:basedOn w:val="DefaultParagraphFont"/>
    <w:uiPriority w:val="21"/>
    <w:qFormat/>
    <w:rsid w:val="00B331EB"/>
    <w:rPr>
      <w:i/>
      <w:iCs/>
      <w:color w:val="0F4761" w:themeColor="accent1" w:themeShade="BF"/>
    </w:rPr>
  </w:style>
  <w:style w:type="paragraph" w:styleId="IntenseQuote">
    <w:name w:val="Intense Quote"/>
    <w:basedOn w:val="Normal"/>
    <w:next w:val="Normal"/>
    <w:link w:val="IntenseQuoteChar"/>
    <w:uiPriority w:val="30"/>
    <w:qFormat/>
    <w:rsid w:val="00B331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31EB"/>
    <w:rPr>
      <w:i/>
      <w:iCs/>
      <w:color w:val="0F4761" w:themeColor="accent1" w:themeShade="BF"/>
    </w:rPr>
  </w:style>
  <w:style w:type="character" w:styleId="IntenseReference">
    <w:name w:val="Intense Reference"/>
    <w:basedOn w:val="DefaultParagraphFont"/>
    <w:uiPriority w:val="32"/>
    <w:qFormat/>
    <w:rsid w:val="00B331EB"/>
    <w:rPr>
      <w:b/>
      <w:bCs/>
      <w:smallCaps/>
      <w:color w:val="0F4761" w:themeColor="accent1" w:themeShade="BF"/>
      <w:spacing w:val="5"/>
    </w:rPr>
  </w:style>
  <w:style w:type="paragraph" w:customStyle="1" w:styleId="papertitle">
    <w:name w:val="paper title"/>
    <w:rsid w:val="00554AE3"/>
    <w:pPr>
      <w:spacing w:after="120" w:line="240" w:lineRule="auto"/>
      <w:jc w:val="center"/>
    </w:pPr>
    <w:rPr>
      <w:rFonts w:ascii="Times New Roman" w:eastAsia="MS Mincho" w:hAnsi="Times New Roman" w:cs="Times New Roman"/>
      <w:noProof/>
      <w:kern w:val="0"/>
      <w:sz w:val="48"/>
      <w:szCs w:val="48"/>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473</Words>
  <Characters>2901</Characters>
  <Application>Microsoft Office Word</Application>
  <DocSecurity>0</DocSecurity>
  <Lines>94</Lines>
  <Paragraphs>23</Paragraphs>
  <ScaleCrop>false</ScaleCrop>
  <Company/>
  <LinksUpToDate>false</LinksUpToDate>
  <CharactersWithSpaces>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Serene Mark</dc:creator>
  <cp:keywords/>
  <dc:description/>
  <cp:lastModifiedBy>Serene Mark</cp:lastModifiedBy>
  <cp:revision>3</cp:revision>
  <dcterms:created xsi:type="dcterms:W3CDTF">2026-03-13T02:19:00Z</dcterms:created>
  <dcterms:modified xsi:type="dcterms:W3CDTF">2026-03-28T22:30:00Z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06f87187-0dda-4788-b810-2e522c364a9a</vt:lpwstr>
  </property>
</Properties>
</file>