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Detecting Genuine vs Fake Facial Emotions Using Machine Vision</w:t>
      </w:r>
    </w:p>
    <w:p>
      <w:pPr>
        <w:jc w:val="center"/>
      </w:pPr>
      <w:r>
        <w:rPr>
          <w:sz w:val="24"/>
        </w:rPr>
        <w:t>Mark Paulraj</w:t>
      </w:r>
    </w:p>
    <w:p>
      <w:pPr>
        <w:jc w:val="center"/>
      </w:pPr>
      <w:r>
        <w:rPr>
          <w:sz w:val="24"/>
        </w:rPr>
        <w:t>CS 7367 – Machine Vision</w:t>
      </w:r>
    </w:p>
    <w:p/>
    <w:p/>
    <w:p>
      <w:pPr>
        <w:spacing w:before="240" w:after="120"/>
      </w:pPr>
      <w:r>
        <w:rPr>
          <w:b/>
          <w:sz w:val="24"/>
        </w:rPr>
        <w:t>Introduction</w:t>
      </w:r>
    </w:p>
    <w:p>
      <w:pPr>
        <w:spacing w:before="0" w:after="120"/>
      </w:pPr>
      <w:r>
        <w:rPr>
          <w:sz w:val="22"/>
        </w:rPr>
        <w:t>Facial expression analysis is a core problem in machine vision because it connects low-level visual perception with high-level human-centered understanding. In real settings such as online learning, remote collaboration, telehealth, customer service, and assistive technologies, systems are expected not only to detect a visible expression but also to interpret whether that expression reflects a true internal affective state. This distinction is essential because downstream decisions based on emotional signals can be unreliable when expressions are intentionally posed or socially masked.</w:t>
      </w:r>
    </w:p>
    <w:p>
      <w:pPr>
        <w:spacing w:before="0" w:after="120"/>
      </w:pPr>
      <w:r>
        <w:rPr>
          <w:sz w:val="22"/>
        </w:rPr>
        <w:t>Most traditional facial emotion recognition pipelines focus on categorical classification (for example, happiness, sadness, anger, fear, surprise, disgust, and neutrality) using static images. While these approaches have improved significantly with deep learning and larger datasets, they often treat every visible expression as equally authentic. In practice, however, expression authenticity is nuanced: people may smile to be polite, suppress negative affect in professional settings, or exaggerate expressions in social media and staged recordings. Therefore, authenticity-aware recognition is a necessary extension of standard emotion classification.</w:t>
      </w:r>
    </w:p>
    <w:p>
      <w:pPr>
        <w:spacing w:before="0" w:after="120"/>
      </w:pPr>
      <w:r>
        <w:rPr>
          <w:sz w:val="22"/>
        </w:rPr>
        <w:t>Psychological and behavioral studies provide important grounding for this challenge. Work on the Facial Action Coding System (FACS) demonstrates that genuine and posed expressions can differ in activation patterns of facial action units, intensity symmetry, and timing dynamics. For smiles in particular, Duchenne-like indicators involving the periocular region are frequently associated with genuine affect, whereas non-Duchenne patterns are more common in deliberate social signaling. These findings motivate computational features that examine not only mouth shape but also eye-region behavior and coordinated facial muscle activity.</w:t>
      </w:r>
    </w:p>
    <w:p>
      <w:pPr>
        <w:spacing w:before="0" w:after="120"/>
      </w:pPr>
      <w:r>
        <w:rPr>
          <w:sz w:val="22"/>
        </w:rPr>
        <w:t>Related work in computer vision and affective computing has introduced strong baselines for expression recognition through convolutional models, transfer learning, and large-scale datasets such as FER-2013 and AffectNet. These contributions establish robust emotion prediction under varied imaging conditions, but many benchmarks prioritize label accuracy over authenticity discrimination. As a result, models may perform well on posed datasets while still failing to distinguish naturally occurring expressions from imitative ones in realistic scenarios.</w:t>
      </w:r>
    </w:p>
    <w:p>
      <w:pPr>
        <w:spacing w:before="0" w:after="120"/>
      </w:pPr>
      <w:r>
        <w:rPr>
          <w:sz w:val="22"/>
        </w:rPr>
        <w:t>To address this gap, this project frames emotion understanding as a two-level inference problem: first, detect and classify the observable expression; second, estimate the likelihood that the observed expression is genuine versus artificial. This framing supports a hybrid strategy that combines data-driven inference with interpretable facial landmark analysis. By examining geometric cues such as smile symmetry, eye aspect variation, and temporal consistency across frames, the system seeks to produce authenticity-aware outputs that are both practical and explainable.</w:t>
      </w:r>
    </w:p>
    <w:p>
      <w:pPr>
        <w:spacing w:before="0" w:after="120"/>
      </w:pPr>
      <w:r>
        <w:rPr>
          <w:sz w:val="22"/>
        </w:rPr>
        <w:t>The broader significance of this work is methodological as well as application-oriented. Methodologically, it explores how lightweight, interpretable heuristics can complement deep models in real-time pipelines without requiring computationally expensive end-to-end retraining. Application-wise, it contributes to safer and more trustworthy human-computer interaction by surfacing uncertainty and authenticity signals instead of presenting categorical emotion labels as absolute truth.</w:t>
      </w:r>
    </w:p>
    <w:p>
      <w:pPr>
        <w:spacing w:before="0" w:after="120"/>
      </w:pPr>
      <w:r>
        <w:rPr>
          <w:sz w:val="22"/>
        </w:rPr>
        <w:t>In summary, the introduction establishes the need for machine vision systems that move beyond expression labeling toward authenticity-sensitive interpretation. The remainder of this report reviews the core limitations in current practice, presents the proposed architecture and implementation, evaluates performance and behavior, and discusses limitations, ethical considerations, and future directions for genuine-versus-posed facial emotion analysis.</w:t>
      </w:r>
    </w:p>
    <w:p>
      <w:pPr>
        <w:spacing w:before="240" w:after="120"/>
      </w:pPr>
      <w:r>
        <w:rPr>
          <w:b/>
          <w:sz w:val="24"/>
        </w:rPr>
        <w:t>Problems with the Topic or Area</w:t>
      </w:r>
    </w:p>
    <w:p>
      <w:pPr>
        <w:spacing w:before="0" w:after="120"/>
      </w:pPr>
      <w:r>
        <w:rPr>
          <w:sz w:val="22"/>
        </w:rPr>
        <w:t>Although many machine learning models exist for facial emotion recognition, most systems have several important limitations that reduce their usefulness in real-world deployment. Understanding these limitations is critical for motivating the design decisions made in this project.</w:t>
      </w:r>
    </w:p>
    <w:p>
      <w:pPr>
        <w:spacing w:before="0" w:after="120"/>
      </w:pPr>
      <w:r>
        <w:rPr>
          <w:sz w:val="22"/>
        </w:rPr>
        <w:t>First, most state-of-the-art models primarily classify emotions into categorical labels but do not evaluate the authenticity of the expression. Systems trained on posed datasets learn to recognize intentionally performed expressions, which may not reflect spontaneous affective states. This gap is particularly problematic in applications such as mental health monitoring or remote learning, where false positives from posed expressions can lead to incorrect interventions.</w:t>
      </w:r>
    </w:p>
    <w:p>
      <w:pPr>
        <w:spacing w:before="0" w:after="120"/>
      </w:pPr>
      <w:r>
        <w:rPr>
          <w:sz w:val="22"/>
        </w:rPr>
        <w:t>Second, traditional emotion detection models rely heavily on static facial features captured in a single image frame. Real emotional expressions evolve over time through micro-expression dynamics and facial action unit sequences. Ignoring temporal information reduces model sensitivity to subtle, short-lived expressions that are often more indicative of genuine affect than stable facial configurations.</w:t>
      </w:r>
    </w:p>
    <w:p>
      <w:pPr>
        <w:spacing w:before="0" w:after="120"/>
      </w:pPr>
      <w:r>
        <w:rPr>
          <w:sz w:val="22"/>
        </w:rPr>
        <w:t>Third, genuine emotions frequently involve specific muscle group activations that are not fully captured by global appearance features. The orbicularis oculi muscle, which produces crinkling around the eyes, is a key indicator of Duchenne smiles and is involuntary for most people. Standard convolutional models can detect mouth curvature but may fail to reliably capture the full set of FACS action units needed to discriminate authentic from posed expressions.</w:t>
      </w:r>
    </w:p>
    <w:p>
      <w:pPr>
        <w:spacing w:before="0" w:after="120"/>
      </w:pPr>
      <w:r>
        <w:rPr>
          <w:sz w:val="22"/>
        </w:rPr>
        <w:t>Fourth, many of the most widely used benchmark datasets for emotion recognition, such as CK+, SFEW, and even portions of AffectNet, contain lab-collected or crowd-sourced posed expressions. When models are trained and evaluated primarily on these datasets, their apparent performance does not generalize to naturalistic affect observed in uncontrolled, real-world environments. The domain gap between lab settings and everyday contexts is a consistent challenge in affective computing research.</w:t>
      </w:r>
    </w:p>
    <w:p>
      <w:pPr>
        <w:spacing w:before="0" w:after="120"/>
      </w:pPr>
      <w:r>
        <w:rPr>
          <w:sz w:val="22"/>
        </w:rPr>
        <w:t>Fifth, existing open-source systems are often not privacy-preserving. Many commercial emotion recognition APIs transmit facial data to external cloud services for inference, which raises ethical and legal concerns, especially when dealing with minors or in regulated industries. A locally executable, privacy-first design is therefore not just a technical preference but a practical requirement in many deployment settings.</w:t>
      </w:r>
    </w:p>
    <w:p>
      <w:pPr>
        <w:spacing w:before="0" w:after="120"/>
      </w:pPr>
      <w:r>
        <w:rPr>
          <w:sz w:val="22"/>
        </w:rPr>
        <w:t>Sixth, computational cost is a practical barrier for many downstream applications. High-accuracy deep models such as large Vision Transformers require significant GPU resources and are unsuitable for edge deployment or consumer hardware. There is a need for systems that achieve practical accuracy within strict latency budgets using lightweight inference runtimes.</w:t>
      </w:r>
    </w:p>
    <w:p>
      <w:pPr>
        <w:spacing w:before="0" w:after="120"/>
      </w:pPr>
      <w:r>
        <w:rPr>
          <w:sz w:val="22"/>
        </w:rPr>
        <w:t>Seventh, model explainability is limited in most current approaches. End-to-end deep classifiers provide a label and a confidence score but do not expose the reasoning behind a prediction. In human-centered applications, practitioners and end users benefit from understanding which facial features drove a classification, especially when decisions based on emotional state carry behavioral or clinical implications.</w:t>
      </w:r>
    </w:p>
    <w:p>
      <w:pPr>
        <w:spacing w:before="0" w:after="120"/>
      </w:pPr>
      <w:r>
        <w:rPr>
          <w:sz w:val="22"/>
        </w:rPr>
        <w:t>These challenges collectively create a strong motivation to explore architectures that combine interpretable landmark heuristics with efficient deep inference, prioritize local execution, and are evaluated on both correctness and practical runtime performance. Addressing even a subset of these limitations meaningfully advances the state of deployable emotion analysis systems.</w:t>
      </w:r>
    </w:p>
    <w:p>
      <w:pPr>
        <w:spacing w:before="240" w:after="120"/>
      </w:pPr>
      <w:r>
        <w:rPr>
          <w:b/>
          <w:sz w:val="24"/>
        </w:rPr>
        <w:t>Proposed Solution / Anticipated Outcome</w:t>
      </w:r>
    </w:p>
    <w:p>
      <w:pPr>
        <w:spacing w:before="0" w:after="120"/>
      </w:pPr>
      <w:r>
        <w:rPr>
          <w:sz w:val="22"/>
        </w:rPr>
        <w:t>The proposed system addresses the limitations identified above through a multi-stage, modular architecture that separates face detection, emotion inference, and authenticity assessment into independently replaceable components. This design philosophy allows each component to be upgraded, swapped, or evaluated in isolation without affecting the rest of the pipeline.</w:t>
      </w:r>
    </w:p>
    <w:p>
      <w:pPr>
        <w:spacing w:before="0" w:after="120"/>
      </w:pPr>
      <w:r>
        <w:rPr>
          <w:sz w:val="22"/>
        </w:rPr>
        <w:t>At the detection stage, the system uses OpenCV Haar Cascade classifiers for face localization. Haar Cascades provide a computationally efficient solution for coarse bounding box detection that operates entirely on CPU and imposes negligible overhead on real-time streams. While deep detection models such as MTCNN or RetinaFace offer higher accuracy under challenging conditions, the Haar Cascade approach satisfies the latency budget for this application and avoids introducing GPU dependencies at the detection stage.</w:t>
      </w:r>
    </w:p>
    <w:p>
      <w:pPr>
        <w:spacing w:before="0" w:after="120"/>
      </w:pPr>
      <w:r>
        <w:rPr>
          <w:sz w:val="22"/>
        </w:rPr>
        <w:t>For emotion classification, the system uses a pre-trained ONNX model compatible with the FER-2013 label space. The ONNX Runtime inference engine allows the model to be executed efficiently across platforms without requiring framework-specific dependencies. The model produces probability distributions over seven emotion categories: happy, sad, angry, fearful, surprised, disgusted, and neutral. The inference stage includes normalization preprocessing, input tensor construction, and post-inference label mapping that collapses the FER+ eight-class output space to the standard seven-class schema.</w:t>
      </w:r>
    </w:p>
    <w:p>
      <w:pPr>
        <w:spacing w:before="0" w:after="120"/>
      </w:pPr>
      <w:r>
        <w:rPr>
          <w:sz w:val="22"/>
        </w:rPr>
        <w:t>For facial landmark extraction, the system integrates Google MediaPipe when available. MediaPipe provides 468 facial mesh keypoints per face, enabling precise geometric measurements such as inter-eye distance, mouth corner positions, lip curvature, and eyelid aperture. These measurements form the basis for authenticity heuristics. When MediaPipe is not available, a deterministic fallback module provides approximate landmark positions derived from the detected face bounding box and empirically tuned proportional offsets.</w:t>
      </w:r>
    </w:p>
    <w:p>
      <w:pPr>
        <w:spacing w:before="0" w:after="120"/>
      </w:pPr>
      <w:r>
        <w:rPr>
          <w:sz w:val="22"/>
        </w:rPr>
        <w:t>The authenticity assessment module applies a rule-based scoring algorithm to the extracted landmarks. Four primary cues are evaluated: smile symmetry (left-right corner elevation balance), mouth curvature magnitude, eye aspect ratio (EAR) reflecting eyelid narrowing associated with genuine smiling, and cheek raise estimates from upper lip corner height. These features are scored individually and combined into a composite genuineness score. Expressions are labeled genuine if the score exceeds a configurable threshold, posed if it falls below a second threshold, and uncertain in between. Exposing this three-way classification allows downstream consumers to apply domain-specific policies around uncertain predictions.</w:t>
      </w:r>
    </w:p>
    <w:p>
      <w:pPr>
        <w:spacing w:before="0" w:after="120"/>
      </w:pPr>
      <w:r>
        <w:rPr>
          <w:sz w:val="22"/>
        </w:rPr>
        <w:t>The anticipated outcome of this project is a functional real-time system capable of processing images, pre-recorded video, and live webcam streams while producing both emotion labels and authenticity assessments. The system should operate within defined latency budgets: under two seconds for single images, under 250 milliseconds per webcam frame, and proportional to video length for batch processing. The design choices aim to demonstrate that a combination of classical computer vision, lightweight deep inference, and interpretable heuristics can produce practical results without cloud infrastructure.</w:t>
      </w:r>
    </w:p>
    <w:p>
      <w:pPr>
        <w:spacing w:before="0" w:after="120"/>
      </w:pPr>
      <w:r>
        <w:rPr>
          <w:sz w:val="22"/>
        </w:rPr>
        <w:t>Beyond technical outcomes, this project anticipates contributing a reusable evaluation framework and benchmark utilities. The dataset preparation module enables reproducible FER-2013 evaluations, and the performance testing harness provides a template for validating future model replacements. These artifacts make the system extensible and suitable for academic and applied follow-on research into genuine emotion detection and affective computing.</w:t>
      </w:r>
    </w:p>
    <w:p>
      <w:pPr>
        <w:spacing w:before="240" w:after="120"/>
      </w:pPr>
      <w:r>
        <w:rPr>
          <w:b/>
          <w:sz w:val="24"/>
        </w:rPr>
        <w:t>Project Design or Architecture</w:t>
      </w:r>
    </w:p>
    <w:p>
      <w:pPr>
        <w:spacing w:before="0" w:after="120"/>
      </w:pPr>
      <w:r>
        <w:rPr>
          <w:sz w:val="22"/>
        </w:rPr>
        <w:t>The system architecture is organized into five distinct layers: the user interface layer, the pipeline orchestration layer, the service layer, the domain model layer, and the configuration and infrastructure layer. Each layer has a defined responsibility and communicates with adjacent layers through typed interfaces, preventing cross-layer coupling and simplifying both testing and extension.</w:t>
      </w:r>
    </w:p>
    <w:p>
      <w:pPr>
        <w:spacing w:before="0" w:after="120"/>
      </w:pPr>
      <w:r>
        <w:rPr>
          <w:sz w:val="22"/>
        </w:rPr>
        <w:t>The user interface layer is implemented with Gradio, a Python library for building machine learning interfaces. Gradio provides three input modes: image upload (single image analysis), video file upload (multi-frame temporal analysis), and webcam streaming (real-time single-frame analysis). The UI layer accepts raw user media, delegates all analysis work to the appropriate pipeline, and renders annotated output images alongside tabular emotion and authenticity results. The Gradio interface also exposes a configuration panel for threshold adjustments, enabling non-technical users to tune authenticity sensitivity without modifying code.</w:t>
      </w:r>
    </w:p>
    <w:p>
      <w:pPr>
        <w:spacing w:before="0" w:after="120"/>
      </w:pPr>
      <w:r>
        <w:rPr>
          <w:sz w:val="22"/>
        </w:rPr>
        <w:t>The pipeline orchestration layer contains three specialized pipeline classes. The ImageAnalysisPipeline accepts a decoded image array and returns a list of FaceAnalysisResult objects, one per detected face. It enforces an upper bound on the number of analyzed faces to prevent pathological runtime on crowd images. The VideoAnalysisPipeline receives a video file path and a sampling frequency parameter, extracts frames at the configured interval, and aggregates per-frame results into a temporally ordered list. The WebcamPipeline accepts individual decoded frames from a streaming source and applies frame-skip logic to maintain throughput near the target frame-processing budget.</w:t>
      </w:r>
    </w:p>
    <w:p>
      <w:pPr>
        <w:spacing w:before="0" w:after="120"/>
      </w:pPr>
      <w:r>
        <w:rPr>
          <w:sz w:val="22"/>
        </w:rPr>
        <w:t>The service layer is composed of three primary services. The FaceDetectionService wraps OpenCV Haar Cascade and returns a list of bounding box tuples for each detected face in a given image array. It includes input validation to handle malformed arrays and applies downscaling when input resolution exceeds a configurable ceiling. The EmotionInferenceService manages the ONNX Runtime InferenceSession lifecycle, performs input preprocessing (resizing, normalization, channel formatting), runs inference, and maps output logits to probability distributions over the seven-class emotion schema. The LandmarkExtractionService wraps MediaPipe FaceMesh and returns a normalized keypoint array per face; when the MediaPipe model is unavailable, the fallback module activates transparently.</w:t>
      </w:r>
    </w:p>
    <w:p>
      <w:pPr>
        <w:spacing w:before="0" w:after="120"/>
      </w:pPr>
      <w:r>
        <w:rPr>
          <w:sz w:val="22"/>
        </w:rPr>
        <w:t>The domain model layer defines shared data classes used as contracts between layers. The FaceRegion dataclass encapsulates bounding box coordinates and a crop reference. The EmotionResult dataclass holds the predicted label, confidence scores for all classes, and a boolean flag indicating whether the prediction met a minimum confidence threshold. The AuthenticityAssessment dataclass stores individual component scores (smile symmetry, mouth curvature, EAR, cheek raise), the composite score, and the authenticity label. The FaceAnalysisResult dataclass aggregates all three into a single per-face output object. Defining these contracts explicitly prevents implicit data coupling and enables unit tests to operate without invoking full inference stacks.</w:t>
      </w:r>
    </w:p>
    <w:p>
      <w:pPr>
        <w:spacing w:before="0" w:after="120"/>
      </w:pPr>
      <w:r>
        <w:rPr>
          <w:sz w:val="22"/>
        </w:rPr>
        <w:t>The configuration and infrastructure layer centralizes all tunable parameters in a single configuration class backed by environment variables. Configurable parameters include the maximum number of faces per image, the image downscaling resolution ceiling, the video frame sampling rate, the webcam frame-budget millisecond threshold, the authenticity genuine and posed score thresholds, and file paths for model assets. This design ensures that deployments in different environments (development, testing, production) can be configured without code changes, supports containerized deployment with environment injection, and enables reproducible benchmark runs by fixing all parameters in configuration snapshots.</w:t>
      </w:r>
    </w:p>
    <w:p>
      <w:pPr>
        <w:spacing w:before="0" w:after="120"/>
      </w:pPr>
      <w:r>
        <w:rPr>
          <w:sz w:val="22"/>
        </w:rPr>
        <w:t>The overall data flow begins at the UI layer, where media is received and validated. Control passes to the appropriate pipeline, which frames the task in terms of domain contracts and calls detection, inference, landmark extraction, and authenticity assessment services in sequence for each detected face. Annotated images are then produced by an overlay renderer that draws bounding boxes, emotion labels, confidence bars, and authenticity badges on copies of the input frames. Final results are returned to the UI layer for display, with no state retained between calls to preserve statelessness and simplify horizontal scaling.</w:t>
      </w:r>
    </w:p>
    <w:p>
      <w:pPr>
        <w:spacing w:before="0" w:after="120"/>
      </w:pPr>
      <w:r>
        <w:rPr>
          <w:sz w:val="22"/>
        </w:rPr>
        <w:t>Privacy and operational safety constraints are enforced architecturally rather than as ad-hoc checks. No network calls are made during analysis; all model files are loaded from local disk at initialization. Face images extracted during analysis are not persisted to storage; they exist only in memory for the duration of a single analysis request. The maximum face count limit prevents denial-of-service conditions on untrusted inputs. These properties make the system suitable for deployment in settings with strict data handling requirements.</w:t>
      </w:r>
    </w:p>
    <w:p>
      <w:pPr>
        <w:spacing w:before="240" w:after="120"/>
      </w:pPr>
      <w:r>
        <w:rPr>
          <w:b/>
          <w:sz w:val="24"/>
        </w:rPr>
        <w:t>Implementation and Evaluation of the Proposed Approach</w:t>
      </w:r>
    </w:p>
    <w:p>
      <w:pPr>
        <w:spacing w:before="0" w:after="120"/>
      </w:pPr>
      <w:r>
        <w:rPr>
          <w:sz w:val="22"/>
        </w:rPr>
        <w:t>Implementation was completed in Python 3.10+ following a service-oriented package structure under src/facial_emotions. The package is organized into sub-modules: models (domain data classes), services (detection, inference, landmark), pipelines (image, video, webcam), ui (Gradio interface builder), utils (dataset preparation, visualization), and config (environment-backed configuration). This structure separates concerns cleanly and allows any sub-module to be imported and tested independently.</w:t>
      </w:r>
    </w:p>
    <w:p>
      <w:pPr>
        <w:spacing w:before="0" w:after="120"/>
      </w:pPr>
      <w:r>
        <w:rPr>
          <w:sz w:val="22"/>
        </w:rPr>
        <w:t>The EmotionInferenceService is implemented with lazy initialization. The ONNX Runtime InferenceSession is created on the first call to the inference method rather than at module import time. This design choice reduces application startup latency, avoids loading large model binaries unnecessarily in test environments, and supports environments where the model file may be unavailable during certain testing scenarios. The session is then cached and reused for subsequent calls within the same process lifecycle.</w:t>
      </w:r>
    </w:p>
    <w:p>
      <w:pPr>
        <w:spacing w:before="0" w:after="120"/>
      </w:pPr>
      <w:r>
        <w:rPr>
          <w:sz w:val="22"/>
        </w:rPr>
        <w:t>Preprocessing adapts dynamically to the model's declared input shape. At session initialization, the service queries the ONNX graph's input metadata to determine whether the model expects a grayscale or RGB three-channel input and what spatial resolution is required. This introspection eliminates hard-coded dimension assumptions and ensures compatibility with different FER-compatible model files without code changes. The detected shape is used to configure a preprocessing pipeline that resizes, normalizes, and reshapes the face crop into the correct tensor format.</w:t>
      </w:r>
    </w:p>
    <w:p>
      <w:pPr>
        <w:spacing w:before="0" w:after="120"/>
      </w:pPr>
      <w:r>
        <w:rPr>
          <w:sz w:val="22"/>
        </w:rPr>
        <w:t>The FER+ model originally outputs probabilities over eight classes (happy, sad, angry, fearful, surprised, disgusted, contempt, neutral). Since the project's public-facing API uses the standard seven-class schema, contempt is folded into neutral at post-processing time. This mapping is applied to both the argmax label selection and the confidence score dictionary, so downstream components never observe the eight-class schema. The remapping is encapsulated in the inference service and is transparent to all other layers.</w:t>
      </w:r>
    </w:p>
    <w:p>
      <w:pPr>
        <w:spacing w:before="0" w:after="120"/>
      </w:pPr>
      <w:r>
        <w:rPr>
          <w:sz w:val="22"/>
        </w:rPr>
        <w:t>The LandmarkExtractionService uses MediaPipe's FaceMesh solution in static image mode. In this mode, the solution processes each frame independently without inter-frame tracking, which is appropriate for the image and video pipelines where frames are not necessarily temporally adjacent. The 468-point mesh is normalized to the image coordinate space, and a subset of anatomically relevant indices (mouth corners, lip vertices, inner eye corners, outer eye corners, lower and upper eyelid points) are extracted and returned as a compact landmark dictionary. The indices are defined as named constants to improve code readability and make future landmark additions straightforward.</w:t>
      </w:r>
    </w:p>
    <w:p>
      <w:pPr>
        <w:spacing w:before="0" w:after="120"/>
      </w:pPr>
      <w:r>
        <w:rPr>
          <w:sz w:val="22"/>
        </w:rPr>
        <w:t>The authenticity scoring algorithm is implemented in the AuthenticityAssessmentService. Smile symmetry is computed as the absolute difference in vertical elevation between the left and right mouth corners, normalized by face height. Mouth curvature is derived from the height of the lip center point relative to the baseline connecting the two mouth corners, again normalized by face height. Eye Aspect Ratio (EAR) is computed per eye as the average of two vertical inter-landmark distances divided by the horizontal inter-landmark distance, following the formulation from Soukupova and Cech [9]. Cheek raise is estimated from the elevation of upper lip corners relative to the nose tip landmark. Each metric is compared against empirically tuned reference ranges to produce a sub-score between 0.0 and 1.0, and the composite genuineness score is a weighted average of the four sub-scores.</w:t>
      </w:r>
    </w:p>
    <w:p>
      <w:pPr>
        <w:spacing w:before="0" w:after="120"/>
      </w:pPr>
      <w:r>
        <w:rPr>
          <w:sz w:val="22"/>
        </w:rPr>
        <w:t>The dataset preparation utility reads FER-2013 CSV records from the standard Kaggle distribution format, which encodes each image as a space-separated string of pixel values. The utility converts each record to a PNG image file and organizes the output into class-labeled subdirectories, producing a directory structure compatible with standard PyTorch and TensorFlow image data loaders. This enables repeatable benchmarking with consistent splits and avoids re-parsing CSV files during benchmark runs.</w:t>
      </w:r>
    </w:p>
    <w:p>
      <w:pPr>
        <w:spacing w:before="0" w:after="120"/>
      </w:pPr>
      <w:r>
        <w:rPr>
          <w:sz w:val="22"/>
        </w:rPr>
        <w:t>Evaluation was designed around two complementary dimensions: correctness and performance. For correctness, the benchmark module computes per-class precision, recall, and F1 scores on held-out test splits, allowing category-level analysis rather than relying solely on aggregate accuracy. Per-class reporting is especially important for emotion datasets because class imbalance and expression ambiguity affect categories unevenly. For performance, a set of integration tests measure wall-clock latency for representative inputs under a controlled environment: a single 640×480 face image, a synthetic ten-frame video, and a single webcam frame.</w:t>
      </w:r>
    </w:p>
    <w:p>
      <w:pPr>
        <w:spacing w:before="0" w:after="120"/>
      </w:pPr>
      <w:r>
        <w:rPr>
          <w:sz w:val="22"/>
        </w:rPr>
        <w:t>The test suite is organized into three layers. Contract tests verify that all service and pipeline interfaces accept correct inputs and return outputs that conform to domain model schemas, using small synthetic inputs and mocked dependencies. Unit tests validate individual components such as EAR calculation, preprocessing shape handling, and landmark index extraction. Integration tests invoke full pipeline executions on representative real inputs to confirm end-to-end correctness and measure latency. The full test suite contains over 200 tests and can be run with a single command after installing the package in editable mode.</w:t>
      </w:r>
    </w:p>
    <w:p>
      <w:pPr>
        <w:spacing w:before="0" w:after="120"/>
      </w:pPr>
      <w:r>
        <w:rPr>
          <w:sz w:val="22"/>
        </w:rPr>
        <w:t>The current implementation demonstrates that combining Haar Cascade face detection, ONNX Runtime emotion inference, MediaPipe landmark extraction, and rule-based authenticity scoring can produce a practical pipeline that operates within real-time constraints on consumer hardware. The modular architecture and typed interfaces ensure that any component can be replaced with a stronger model in the future without disrupting other layers, making the system a practical foundation for continued research into genuine emotion recognition.</w:t>
      </w:r>
    </w:p>
    <w:p>
      <w:pPr>
        <w:spacing w:before="240" w:after="120"/>
      </w:pPr>
      <w:r>
        <w:rPr>
          <w:b/>
          <w:sz w:val="24"/>
        </w:rPr>
        <w:t>Conclusion and Discussion</w:t>
      </w:r>
    </w:p>
    <w:p>
      <w:pPr>
        <w:spacing w:before="0" w:after="120"/>
      </w:pPr>
      <w:r>
        <w:rPr>
          <w:sz w:val="22"/>
        </w:rPr>
        <w:t>This project set out to build a practical machine vision system that goes beyond standard emotion labeling to offer genuineness estimation from facial landmarks and heuristic rules. The resulting prototype achieves all primary objectives: it detects faces in images, videos, and live webcam streams; classifies facial expressions across a standard seven-class schema; and provides interpretable authenticity assessments that distinguish Duchenne-style genuine expressions from posed or ambiguous ones. The implementation is privacy-preserving, runs entirely on local hardware, and satisfies explicit latency budgets validated through automated performance tests.</w:t>
      </w:r>
    </w:p>
    <w:p>
      <w:pPr>
        <w:spacing w:before="0" w:after="120"/>
      </w:pPr>
      <w:r>
        <w:rPr>
          <w:sz w:val="22"/>
        </w:rPr>
        <w:t>A key finding from this work is that interpretable rule-based authenticity scoring can complement a deep inference model without requiring end-to-end retraining or access to labeled authenticity ground truth. By deriving scores from geometric landmark features grounded in psychological research on facial action unit dynamics, the system produces assessments that align with human intuition about genuine versus posed expressions. This approach also yields explainability benefits: users and practitioners can inspect the individual sub-scores (smile symmetry, mouth curvature, EAR, cheek raise) to understand why a given expression was flagged as genuine, posed, or uncertain.</w:t>
      </w:r>
    </w:p>
    <w:p>
      <w:pPr>
        <w:spacing w:before="0" w:after="120"/>
      </w:pPr>
      <w:r>
        <w:rPr>
          <w:sz w:val="22"/>
        </w:rPr>
        <w:t>The modular architecture proved to be a significant advantage during development. Because each component (detection, inference, landmarks, authenticity, configuration) is encapsulated behind a typed interface, it was possible to test and iterate on individual services without disturbing the rest of the pipeline. The lazy initialization pattern for the ONNX inference session reduced startup time and simplified test environment management. The configuration layer's reliance on environment variables enabled clean separation between development and production settings.</w:t>
      </w:r>
    </w:p>
    <w:p>
      <w:pPr>
        <w:spacing w:before="0" w:after="120"/>
      </w:pPr>
      <w:r>
        <w:rPr>
          <w:sz w:val="22"/>
        </w:rPr>
        <w:t>However, several important limitations constrain the current system's applicability. The Haar Cascade face detector performs reliably under frontal, well-lit conditions but degrades on profile or partially occluded faces. In outdoor environments or webcam sessions with variable lighting, detection miss rate increases noticeably. Replacing the detector with a deep model such as MTCNN or a SSD-based face detector would improve robustness at a modest increase in computational cost.</w:t>
      </w:r>
    </w:p>
    <w:p>
      <w:pPr>
        <w:spacing w:before="0" w:after="120"/>
      </w:pPr>
      <w:r>
        <w:rPr>
          <w:sz w:val="22"/>
        </w:rPr>
        <w:t>The authenticity heuristics are sensitive to camera angle and head pose. The EAR and smile symmetry metrics assume a near-frontal face orientation; significant yaw or pitch introduces systematic bias into the landmark geometry. A pose correction step, such as fitting a 3D morphable model to normalize landmarks to a frontal reference frame, would improve the reliability of heuristic scores across a wider range of capture conditions.</w:t>
      </w:r>
    </w:p>
    <w:p>
      <w:pPr>
        <w:spacing w:before="0" w:after="120"/>
      </w:pPr>
      <w:r>
        <w:rPr>
          <w:sz w:val="22"/>
        </w:rPr>
        <w:t>Dataset bias in FER-2013 is another concern. The dataset contains a large proportion of web-collected and crowd-sourced posed expressions, which may not represent the full diversity of spontaneous affect across age groups, ethnicities, and cultural contexts. Benchmark accuracy numbers computed on this dataset should be interpreted cautiously when generalizing to real-world deployment. Complementary evaluation on spontaneous affect datasets such as AFEW or CAISA-SURF would provide a more realistic picture of generalization.</w:t>
      </w:r>
    </w:p>
    <w:p>
      <w:pPr>
        <w:spacing w:before="0" w:after="120"/>
      </w:pPr>
      <w:r>
        <w:rPr>
          <w:sz w:val="22"/>
        </w:rPr>
        <w:t>Ethical considerations for this type of system are significant. Automated emotion recognition and authenticity detection raise concerns about consent, misuse, and cultural bias. Expressiveness varies substantially across cultures and individuals; a universal heuristic threshold for genuineness could systematically disadvantage groups that express emotion with different intensity or style. Any deployment of this technology in high-stakes contexts, such as hiring, education, or law enforcement, would require extensive fairness auditing, consent mechanisms, and adversarial robustness testing.</w:t>
      </w:r>
    </w:p>
    <w:p>
      <w:pPr>
        <w:spacing w:before="0" w:after="120"/>
      </w:pPr>
      <w:r>
        <w:rPr>
          <w:sz w:val="22"/>
        </w:rPr>
        <w:t>Future work should explore several directions. First, integrating temporal modeling (such as optical flow analysis or recurrent attention over short frame sequences) would allow the system to detect micro-expression dynamics that are invisible in single frames. Second, replacing fixed heuristic thresholds with a calibrated lightweight classifier trained on a labeled authenticity dataset could improve precision across diverse populations. Third, a study comparing this system's authenticity assessments against human rater judgments would provide important external validity for the scoring algorithm.</w:t>
      </w:r>
    </w:p>
    <w:p>
      <w:pPr>
        <w:spacing w:before="0" w:after="120"/>
      </w:pPr>
      <w:r>
        <w:rPr>
          <w:sz w:val="22"/>
        </w:rPr>
        <w:t>From a software engineering perspective, future improvements should include a formal model registry with versioned assets and associated metadata, enabling safe model updates in production deployments. Exposing a REST API alongside the Gradio interface would broaden integration possibilities for third-party applications. Containerization with Docker and a reproducible build pipeline would simplify deployment and support continuous integration against the full benchmark suite.</w:t>
      </w:r>
    </w:p>
    <w:p>
      <w:pPr>
        <w:spacing w:before="0" w:after="120"/>
      </w:pPr>
      <w:r>
        <w:rPr>
          <w:sz w:val="22"/>
        </w:rPr>
        <w:t>In conclusion, this project demonstrates a complete, privacy-preserving, and locally executable machine vision pipeline for facial emotion analysis with authenticity awareness. The system is grounded in psychological and computer vision literature, validated through an automated test and benchmark framework, and designed for extensibility. It establishes a strong foundation for future research into genuine emotion detection and provides a practical template for building interpretable, real-time affective computing applications.</w:t>
      </w:r>
    </w:p>
    <w:p>
      <w:pPr>
        <w:spacing w:before="240" w:after="120"/>
      </w:pPr>
      <w:r>
        <w:rPr>
          <w:b/>
          <w:sz w:val="24"/>
        </w:rPr>
        <w:t>References</w:t>
      </w:r>
    </w:p>
    <w:p/>
    <w:p>
      <w:pPr>
        <w:spacing w:before="0" w:after="120"/>
      </w:pPr>
      <w:r>
        <w:rPr>
          <w:sz w:val="22"/>
        </w:rPr>
        <w:t>[1] P. Ekman and W. V. Friesen, Facial Action Coding System: A Technique for the Measurement of Facial Movement. Palo Alto, CA: Consulting Psychologists Press, 1978.</w:t>
      </w:r>
    </w:p>
    <w:p>
      <w:pPr>
        <w:spacing w:before="0" w:after="120"/>
      </w:pPr>
      <w:r>
        <w:rPr>
          <w:sz w:val="22"/>
        </w:rPr>
        <w:t>[2] P. Ekman and W. V. Friesen, "Felt, false, and miserable smiles," J. Nonverbal Behavior, vol. 6, no. 4, pp. 238-252, Summer 1982.</w:t>
      </w:r>
    </w:p>
    <w:p>
      <w:pPr>
        <w:spacing w:before="0" w:after="120"/>
      </w:pPr>
      <w:r>
        <w:rPr>
          <w:sz w:val="22"/>
        </w:rPr>
        <w:t>[3] I. J. Goodfellow et al., "Challenges in representation learning: A report on three machine learning contests," in Proc. Int. Conf. Neural Inf. Process. (ICONIP), Daegu, Korea, 2013, pp. 117-124.</w:t>
      </w:r>
    </w:p>
    <w:p>
      <w:pPr>
        <w:spacing w:before="0" w:after="120"/>
      </w:pPr>
      <w:r>
        <w:rPr>
          <w:sz w:val="22"/>
        </w:rPr>
        <w:t>[4] E. Barsoum, C. Zhang, C. C. Ferrer, and Z. Zhang, "Training deep networks for facial expression recognition with crowd-sourced label distribution," in Proc. 18th ACM Int. Conf. Multimodal Interaction (ICMI), Santa Monica, CA, USA, 2016, pp. 279-283.</w:t>
      </w:r>
    </w:p>
    <w:p>
      <w:pPr>
        <w:spacing w:before="0" w:after="120"/>
      </w:pPr>
      <w:r>
        <w:rPr>
          <w:sz w:val="22"/>
        </w:rPr>
        <w:t>[5] S. Li and W. Deng, "Deep facial expression recognition: A survey," IEEE Trans. Affect. Comput., vol. 13, no. 3, pp. 1195-1215, Jul.-Sep. 2022.</w:t>
      </w:r>
    </w:p>
    <w:p>
      <w:pPr>
        <w:spacing w:before="0" w:after="120"/>
      </w:pPr>
      <w:r>
        <w:rPr>
          <w:sz w:val="22"/>
        </w:rPr>
        <w:t>[6] A. Mollahosseini, B. Hasani, and M. H. Mahoor, "AffectNet: A database for facial expression, valence, and arousal computing in the wild," IEEE Trans. Affect. Comput., vol. 10, no. 1, pp. 18-31, Jan.-Mar. 2019.</w:t>
      </w:r>
    </w:p>
    <w:p>
      <w:pPr>
        <w:spacing w:before="0" w:after="120"/>
      </w:pPr>
      <w:r>
        <w:rPr>
          <w:sz w:val="22"/>
        </w:rPr>
        <w:t>[7] P. Viola and M. Jones, "Rapid object detection using a boosted cascade of simple features," in Proc. IEEE Conf. Comput. Vis. Pattern Recognit. (CVPR), Kauai, HI, USA, 2001, pp. I-511-I-518.</w:t>
      </w:r>
    </w:p>
    <w:p>
      <w:pPr>
        <w:spacing w:before="0" w:after="120"/>
      </w:pPr>
      <w:r>
        <w:rPr>
          <w:sz w:val="22"/>
        </w:rPr>
        <w:t>[8] C. Lugaresi et al., "MediaPipe: A framework for building perception pipelines," in Proc. Workshop on MLSys at Int. Conf. Mach. Learn. (ICML), Long Beach, CA, USA, 2019.</w:t>
      </w:r>
    </w:p>
    <w:p>
      <w:pPr>
        <w:spacing w:before="0" w:after="120"/>
      </w:pPr>
      <w:r>
        <w:rPr>
          <w:sz w:val="22"/>
        </w:rPr>
        <w:t>[9] T. Soukupova and J. Cech, "Real-time eye blink detection using facial landmarks," in Proc. 21st Comput. Vis. Winter Workshop (CVWW), Rimske Toplice, Slovenia, 2016.</w:t>
      </w:r>
    </w:p>
    <w:p>
      <w:pPr>
        <w:spacing w:before="0" w:after="120"/>
      </w:pPr>
      <w:r>
        <w:rPr>
          <w:sz w:val="22"/>
        </w:rPr>
        <w:t>[10] B. Amos, B. Ludwiczuk, and M. Satyanarayanan, "OpenFace: A general-purpose face recognition library with mobile applications," CMU-CS-16-118, Carnegie Mellon Univ., Pittsburgh, PA, USA, Tech. Rep., 2016.</w:t>
      </w:r>
    </w:p>
    <w:p>
      <w:pPr>
        <w:spacing w:before="0" w:after="120"/>
      </w:pPr>
      <w:r>
        <w:rPr>
          <w:sz w:val="22"/>
        </w:rPr>
        <w:t>[11] ONNX Runtime Developers, ONNX Runtime, ver. 1.17. [Online]. Available: https://onnxruntime.ai, 2018.</w:t>
      </w:r>
    </w:p>
    <w:p>
      <w:pPr>
        <w:spacing w:before="0" w:after="120"/>
      </w:pPr>
      <w:r>
        <w:rPr>
          <w:sz w:val="22"/>
        </w:rPr>
        <w:t>[12] A. Abid, A. Abdalla, A. Abid, D. Khan, A. Alfozan, and J. Zou, "Gradio: Hassle-free sharing and testing of ML models in the wild," arXiv:1906.02569 [cs.LG],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