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49d074e (main) — merge of PR #1</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sports-pool (Vercel) — deploy READY on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Security posture strong. Not yet launch-ready — see Section 9.</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gaps that remain are not, for the most part, holes in the security model. They are the things that surround a system and make it survivable in production: there is no error boundary anywhere in the frontend, no observability stack of any kind, no automated test coverage beyond the settlement engine, and the distributed rate limiter is configured in code but has no backing store provisioned, so every throttle currently degrades to a per-instance in-memory window that a serverless platform scatters across processes.</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44</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29</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8</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20</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application is invisible in production. </w:t>
      </w:r>
      <w:r>
        <w:rPr>
          <w:rFonts w:ascii="Calibri" w:cs="Calibri" w:eastAsia="Calibri" w:hAnsi="Calibri"/>
          <w:color w:val="1A1A1A"/>
          <w:sz w:val="21"/>
          <w:szCs w:val="21"/>
        </w:rPr>
        <w:t xml:space="preserve">There is no error tracking, no structured logging, no alerting, and no uptime monitoring. Diagnostics are 69 </w:t>
      </w:r>
      <w:r>
        <w:rPr>
          <w:rFonts w:ascii="Consolas" w:cs="Consolas" w:eastAsia="Consolas" w:hAnsi="Consolas"/>
          <w:color w:val="1A1A1A"/>
          <w:sz w:val="21"/>
          <w:szCs w:val="21"/>
        </w:rPr>
        <w:t xml:space="preserve">console</w:t>
      </w:r>
      <w:r>
        <w:rPr>
          <w:rFonts w:ascii="Calibri" w:cs="Calibri" w:eastAsia="Calibri" w:hAnsi="Calibri"/>
          <w:color w:val="1A1A1A"/>
          <w:sz w:val="21"/>
          <w:szCs w:val="21"/>
        </w:rPr>
        <w:t xml:space="preserve"> statements landing in Vercel's log buffer. If a webhook starts failing, or settlement credits the wrong figure, or PayPal rejects a batch, nobody finds out until a user complains — and on a money product the user complaining is already the incident.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2"/>
        </w:numPr>
        <w:spacing w:after="80" w:line="276"/>
      </w:pPr>
      <w:r>
        <w:rPr>
          <w:rFonts w:ascii="Calibri" w:cs="Calibri" w:eastAsia="Calibri" w:hAnsi="Calibri"/>
          <w:sz w:val="21"/>
          <w:szCs w:val="21"/>
        </w:rPr>
        <w:t xml:space="preserve">The repository at commit 49d074e — 44 API routes, 20 pages, 63 components, 53 library modules, 29 SQL migrations.</w:t>
      </w:r>
    </w:p>
    <w:p>
      <w:pPr>
        <w:pStyle w:val="ListParagraph"/>
        <w:numPr>
          <w:ilvl w:val="0"/>
          <w:numId w:val="2"/>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2"/>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2"/>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2"/>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2"/>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2"/>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2"/>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is the weakest area of the frontend, and the finding is categorical rather than marginal: there is no error boundary anywhere in the application. No error.tsx, no global-error.tsx, at any level of the route tree. Only not-found.tsx exists. Any unhandled exception during render — a malformed API response, an undefined field in a pool object, a date that fails to parse — takes down the entire route and shows Next.js's default error screen.</w:t>
      </w:r>
    </w:p>
    <w:p>
      <w:pPr>
        <w:spacing w:after="120" w:line="276"/>
      </w:pPr>
      <w:r>
        <w:rPr>
          <w:rFonts w:ascii="Calibri" w:cs="Calibri" w:eastAsia="Calibri" w:hAnsi="Calibri"/>
          <w:color w:val="1A1A1A"/>
          <w:sz w:val="21"/>
          <w:szCs w:val="21"/>
        </w:rPr>
        <w:t xml:space="preserve">On a product where users are looking at their own money, that screen is not merely ugly. A player who sees a raw crash on the winnings page cannot distinguish a display bug from their balance having vanished, and the support burden of that ambiguity is real. There are also no loading.tsx boundaries, so route transitions have no server-driven suspense fallback.</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error.tsx or global-error.tsx at any level. An unhandled render error blanks the route with Next's default error page.</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loading.tsx anywhere; no route-level suspense fallbacks during navigation.</w:t>
            </w:r>
          </w:p>
        </w:tc>
        <w:tc>
          <w:tcPr>
            <w:tcW w:type="dxa" w:w="11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69 console.* statements are the only client-side diagnostics. No error reporting reaches an operator.</w:t>
            </w:r>
          </w:p>
        </w:tc>
        <w:tc>
          <w:tcPr>
            <w:tcW w:type="dxa" w:w="11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see 7.3</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has not been audited, and the mechanical indicators are thin: 24 aria-label attributes, 5 explicit roles and 7 alt attributes across the whole component and page surface. That is not proof of a problem — Radix UI supplies correct semantics and keyboard behaviour for the primitives it covers, which is a substantial head start — but it is not evidence of correctness either. No automated accessibility checking runs in CI, and no manual keyboard or screen-reader pass has been done.</w:t>
      </w:r>
    </w:p>
    <w:p>
      <w:pPr>
        <w:spacing w:after="120" w:line="276"/>
      </w:pPr>
      <w:r>
        <w:rPr>
          <w:rFonts w:ascii="Calibri" w:cs="Calibri" w:eastAsia="Calibri" w:hAnsi="Calibri"/>
          <w:color w:val="1A1A1A"/>
          <w:sz w:val="21"/>
          <w:szCs w:val="21"/>
        </w:rPr>
        <w:t xml:space="preserve">For a consumer product that takes payments, this carries legal exposure in several jurisdictions independent of the ethical case.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accessibility audit, no automated a11y checks in CI, no keyboard or screen-reader verification.</w:t>
            </w:r>
          </w:p>
        </w:tc>
        <w:tc>
          <w:tcPr>
            <w:tcW w:type="dxa" w:w="11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Five of twenty pages export metadata. There is no sitemap.ts and no robots.ts. Separately, the root layout sets force-dynamic so that the per-request CSP nonce can be applied, which means nothing is statically generated or CDN-cached — including the marketing and legal pages that would benefit most. The README documents this as a deliberate trade and describes the fix: serve public pages a separate nonce-free CSP and scope force-dynamic to the authenticated routes.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Only 5 of 20 pages define metadata; no sitemap.ts or robots.ts.</w:t>
            </w:r>
          </w:p>
        </w:tc>
        <w:tc>
          <w:tcPr>
            <w:tcW w:type="dxa" w:w="11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static generation at all — force-dynamic in the root layout for CSP nonce support. Marketing and legal pages pay full server cost.</w:t>
            </w:r>
          </w:p>
        </w:tc>
        <w:tc>
          <w:tcPr>
            <w:tcW w:type="dxa" w:w="11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documented trade-off</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leaked-password protection (HaveIBeenPwned) is not enabled — it is a paid-plan feature. Users may choose credentials known to be breached.</w:t>
            </w:r>
          </w:p>
        </w:tc>
        <w:tc>
          <w:tcPr>
            <w:tcW w:type="dxa" w:w="11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plan-gated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multi-factor authentication available for admin accounts, which can move money.</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is the thinner control. Eleven routes enforce it — the authentication, payment and payout endpoints, which are the right first priorities — but a number of authenticated mutations have none. Most carry limited abuse potential individually; collectively they are an unmetered write surface against the database. Input validation is thinner still: only five routes parse their body through a zod schema. The remainder hand-roll checks in the shape of typeof body.x === "string", which works but is inconsistent, easy to get subtly wrong, and gives no schema to reason about.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covers only 11 of 44 routes. Unthrottled authenticated mutations include invitation accept/decline, notification read, card pick writes, card lock, pool update and delete, game outcome, and the admin surfaces.</w:t>
            </w:r>
          </w:p>
        </w:tc>
        <w:tc>
          <w:tcPr>
            <w:tcW w:type="dxa" w:w="11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Only 5 routes validate input with a zod schema; the rest use ad-hoc type checks with no shared contract.</w:t>
            </w:r>
          </w:p>
        </w:tc>
        <w:tc>
          <w:tcPr>
            <w:tcW w:type="dxa" w:w="11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2"/>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2"/>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2"/>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2"/>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2"/>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2"/>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2"/>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reservation is not about any individual link. It is that the chain has never been pulled end to end against live Stripe and PayPal infrastructure. Idempotency that is correct by inspection is not the same as idempotency observed surviving a genuine duplicate webhook delivery.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test of purchase → fulfilment → picks → settlement → payout against real Stripe/PayPal. Idempotency and failure handling are unproven under real conditions.</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reconciliation job comparing Stripe charges against pool_transactions, or PayPal batches against payout_requests. A silent divergence would go undetected indefinitely.</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 reports 23 unused indexes, which is expected and not actionable on a database that has served no traffic — an index cannot register use before there are queries. It also reports multiple permissive policies on five tables, where an "admin can view all" policy sits alongside a "user can view own" policy for the same role and action. Postgres OR-es permissive policies, so both are evaluated on every read. This is a performance characteristic rather than a security defect, and consolidating each pair into one policy would remove it.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Multiple permissive SELECT policies on users, user_transactions, user_payout_accounts, payout_requests and payout_approvals — both evaluated per read.</w:t>
            </w:r>
          </w:p>
        </w:tc>
        <w:tc>
          <w:tcPr>
            <w:tcW w:type="dxa" w:w="11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performance only</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23 unused indexes reported. Expected on a zero-traffic database; re-evaluate after real usage rather than dropping now.</w:t>
            </w:r>
          </w:p>
        </w:tc>
        <w:tc>
          <w:tcPr>
            <w:tcW w:type="dxa" w:w="11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Informational</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documented backup, retention or restore-rehearsal policy for a database that will hold financial records.</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three gates: typecheck, the settlement regression suite, and a full production build. Lint runs but is configured not to block, which was the right call while a large inherited backlog was being worked down — that backlog is now cleared and eslint currently reports zero findings, so the gate could be tightened to blocking without cost.</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One Vercel cron invokes /api/cron/settle daily at 08:00 UTC, authenticated by a bearer secret that fails closed when unset. A single daily settlement pass is a product decision as much as a technical one — a pool whose last game ends Sunday evening will not settle until Monday morning, and players who expect to see winnings promptly will read that delay as a fault. Worth revisiting before launch.</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There is none. No Sentry, no Datadog, no OpenTelemetry, no log aggregation, no uptime monitoring, no alerting. The entire diagnostic surface is 69 console statements landing in Vercel's log buffer, which nobody is watching and which nothing routes anywhere.</w:t>
      </w:r>
    </w:p>
    <w:p>
      <w:pPr>
        <w:spacing w:after="120" w:line="276"/>
      </w:pPr>
      <w:r>
        <w:rPr>
          <w:rFonts w:ascii="Calibri" w:cs="Calibri" w:eastAsia="Calibri" w:hAnsi="Calibri"/>
          <w:color w:val="1A1A1A"/>
          <w:sz w:val="21"/>
          <w:szCs w:val="21"/>
        </w:rPr>
        <w:t xml:space="preserve">For a money-moving system this is the single largest operational gap. The failures that matter most here are quiet ones: a webhook that starts returning 500 and silently stops issuing cards to paying customers; a PayPal batch that fails after the balance was already debited; a settlement run that credits the wrong figure. None of those announce themselves. Without instrumentation the detection mechanism is a user complaint, by which point the incident has already cost money and trust.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error tracking, structured logging, uptime monitoring or alerting of any kind.</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silently degrades to per-instance in-memory windows across serverless instances.</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once daily at 08:00 UTC; pools finishing Sunday evening do not settle until Monday.</w:t>
            </w:r>
          </w:p>
        </w:tc>
        <w:tc>
          <w:tcPr>
            <w:tcW w:type="dxa" w:w="11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product decision</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runbook for the failure modes that matter: failed webhook, failed payout batch, mis-settled pool, Stripe or PayPal outage.</w:t>
            </w:r>
          </w:p>
        </w:tc>
        <w:tc>
          <w:tcPr>
            <w:tcW w:type="dxa" w:w="11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Everything else is untested. There is no unit test framework installed, no component testing, no API route tests, and no end-to-end harness. Forty-three of forty-four API routes have no automated coverage. The settlement suite protects the arithmetic; nothing protects the plumbing that feeds it.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test framework, no component tests, no API route tests, no E2E harness. 43 of 44 routes uncovered.</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not distributed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tested end to end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observability or alerting</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Silent failures — unissued cards, failed payouts, mis-settled pools — go undetected until someone complains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payment reconciliation</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Divergence between Stripe/PayPal and your ledger accumulates invisibly</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MFA for admin accounts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One phished admin credential can approve payouts and change platform fees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documented backup and restore rehearsal</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Financial records with no proven recovery path</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43 of 44 routes have no automated tests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Regressions reach production; refactoring is unsafe</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error boundaries anywhere</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render error blanks the route; on a balance page users cannot tell a crash from lost money</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missing on most authenticated mutations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Unmetered write surface against the database</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Inconsistent input validation</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Subtle parsing bugs; no shared contract to reason about</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Breached-password check unavailable on current plan</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Users register with credentials already in public dumps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Accessibility unaudited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Excludes users; carries legal exposure in several jurisdictions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Daily-only settlement</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Winnings appear up to a day late; reads as a fault to players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incident runbook</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Slow, improvised response to money-affecting failures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never reach an operator</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Frontend breakage is invisible</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Multiple permissive policies on five tables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Extra policy evaluation on every read</w:t>
            </w:r>
          </w:p>
        </w:tc>
        <w:tc>
          <w:tcPr>
            <w:tcW w:type="dxa" w:w="176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loading boundaries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Navigation feels unresponsive</w:t>
            </w:r>
          </w:p>
        </w:tc>
        <w:tc>
          <w:tcPr>
            <w:tcW w:type="dxa" w:w="176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Sparse metadata; no sitemap or robots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Weak search presence</w:t>
            </w:r>
          </w:p>
        </w:tc>
        <w:tc>
          <w:tcPr>
            <w:tcW w:type="dxa" w:w="176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static generation</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Marketing and legal pages pay full server cost</w:t>
            </w:r>
          </w:p>
        </w:tc>
        <w:tc>
          <w:tcPr>
            <w:tcW w:type="dxa" w:w="176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23 unused indexes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Marginal write overhead; re-evaluate after real traffic</w:t>
            </w:r>
          </w:p>
        </w:tc>
        <w:tc>
          <w:tcPr>
            <w:tcW w:type="dxa" w:w="176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Everything below is missing or unverified as of commit 49d074e.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UPSTASH_REDIS_REST_URL and UPSTASH_REDIS_REST_TOKEN are unset in production, so every throttle — including the sign-in limit protecting accounts with balances — degrades to a per-instance in-memory window that serverless scatters across processes.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STRIPE_WEBHOOK_SECRET must match the live endpoint. If the webhook is misconfigured a user is charged and receives no card — the exact failure the fulfilment code is written to prevent.</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Stand up error tracking and alerting</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There is currently no way to learn that a webhook is failing or a payout batch was rejected other than a user telling you. Sentry or equivalent, with alerts on the money routes specifically.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and rehearse database backup and restore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Point-in-time recovery must be enabled and an actual restore performed once. Financial records with an unrehearsed recovery path are records you may not have.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MFA on all admin accounts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Admins approve payouts and set the platform fee. One phished credential is currently sufficient to move money.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It gates a service-role write endpoint. Leaving it set after bootstrap leaves an unnecessary privileged path enabled.</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Build the payment reconciliation job</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Compare Stripe charges against pool_transactions and PayPal batches against payout_requests on a schedule. Without it, divergence between processor and ledger accumulates invisibly.</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rate limiting to the remaining authenticated mutations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Invitation accept/decline, notification read, card pick writes, card lock, pool update/delete, game outcome and the admin routes are unthrottled.</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Move all route input onto zod schemas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Only 5 of 44 routes validate against a schema; the rest hand-roll type checks with no shared contract and inconsistent error shapes.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Supabase leaked-password protection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Requires a paid plan. Without it users may register with credentials already present in public breach dumps — on an account holding a cash balance.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Role changes, payout approvals and platform-fee edits should be attributable after the fact. Financial disputes are resolved from an audit trail.</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Consolidate the duplicate permissive SELECT policies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Five tables evaluate an admin policy and an owner policy on every read. Merging each pair removes the overhead without changing behaviour.</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Advisories were cleared during this cycle, but nothing re-checks them. Dependabot or npm audit in CI keeps that honest.</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Install a test framework and cover the API routes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43 of 44 routes have no automated coverage. Auth, ownership and the money endpoints are the priority order.</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Playwright is already available in this environment. Signup, purchase, picks, settlement and withdrawal are the journeys that must never silently break.</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error.tsx and global-error.tsx boundaries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boundary exists anywhere. An unhandled render error currently blanks the route — and on a balance page, users cannot distinguish a crash from missing money.</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Write an incident runbook</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Failed webhook, failed payout batch, mis-settled pool, Stripe or PayPal outage, database restore. Decide the response before the incident, not during it.</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Promote lint to a blocking CI gate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backlog it was relaxed for is cleared and eslint now reports zero findings, so blocking costs nothing and stops the debt returning.</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loading.tsx boundaries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route-level suspense fallbacks, so navigation has no server-driven loading state.</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Reconsider the daily-only settlement schedule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pool finishing Sunday evening does not settle until Monday morning. Players read that delay as a fault.</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an accessibility audit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Never audited. Radix supplies good primitive semantics, but 24 aria-labels and 5 roles across 83 files is not evidence of a keyboard- or screen-reader-usable product.</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automated a11y checks to CI</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axe or similar, so the audit result does not decay the moment it is signed off.</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Complete page metadata; add sitemap.ts and robots.ts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Only 5 of 20 pages define metadata, and search engines have no crawl guidance.</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is global for the CSP nonce. Serving marketing and legal pages a nonce-free CSP would let them cache at the edge.</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Structured logging with request correlation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69 console statements cannot be searched, correlated or alerted on. Tracing one user's payment across routes is currently not possible.</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currently detects that the site is down or the cron stopped firing.</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Alert on settlement and payout failures specifically</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These are the failures that cost money and trust. They deserve their own alerts, not a shared error feed.</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player will contest a settlement result. Decide now who investigates, against what evidence, and who can authorise a correction.</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How an admin is created, and how access is fully revoked when someone leaves.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These are questions, not findings. A platform that takes entry fees and pays cash prizes on sporting outcomes sits in a heavily regulated space that varies by jurisdiction, and none of the following can be resolved from the code — each needs qualified counsel in every territory you intend to operate in. They are listed because shipping without answering them is the largest non-technical risk this project carries.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Paid-entry contests with cash prizes on sporting outcomes are regulated differently in each US state and most other countries. Some require licensing; some prohibit the model outright.</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Implement age verification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Minimum age requirements apply nearly everywhere and are commonly 18 or 21 depending on jurisdiction. There is currently no age gate of any kind.</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Implement geolocation restriction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If any target jurisdiction prohibits or licenses the model, access must be blocked there. Nothing currently restricts by location.</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Determine KYC/AML obligations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Identity verification and transaction monitoring thresholds may apply to a platform holding user balances and paying out cash.</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Determine tax reporting obligations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 the US, winnings above certain thresholds trigger information-reporting duties. The data model must capture whatever those require before the first payout, not after.</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responsible-gambling controls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Deposit limits, self-exclusion and support signposting are required in many jurisdictions and expected in most.</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and Privacy pages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Both pages exist but have not been reviewed against the actual data flows, the payment processors in use, or the contest rules as implemented.</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Both processors restrict gambling and contest-related businesses and require prior approval. Operating outside the agreed category risks abrupt account termination with funds held.</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Publish the contest rules as binding terms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platform fee, refund conditions and what happens to an abandoned or postponed fixture all need to be stated before someone disputes one.</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Complete a data-protection assessment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GDPR, CCPA or equivalent obligations attach to holding identity, location and financial data. Retention, deletion and export paths must exist.</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44 routes, with the guards each enforces. ✓ present, — absent, n/a not applicable.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40"/>
      </w:pPr>
    </w:p>
    <w:p>
      <w:pPr>
        <w:spacing w:after="120" w:line="276"/>
      </w:pPr>
      <w:r>
        <w:rPr>
          <w:rFonts w:ascii="Calibri" w:cs="Calibri" w:eastAsia="Calibri" w:hAnsi="Calibri"/>
          <w:i/>
          <w:iCs/>
          <w:color w:val="1A1A1A"/>
          <w:sz w:val="21"/>
          <w:szCs w:val="21"/>
        </w:rPr>
        <w:t xml:space="preserve">Read together, these commits describe a system whose security model is now sound and whose remaining work is operational. That is a good place to be — but the operational work is not optional on a product that holds other people's money, and Section 9.A is where it starts.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4A6"/>
        <w:sz w:val="16"/>
        <w:szCs w:val="16"/>
      </w:rPr>
      <w:t xml:space="preserve">Sports Pool — Full-Stack Audit  |  commit 49d074e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 Pool — Full-Stack Audit</dc:title>
  <dc:creator>Security &amp; Reliability Audit</dc:creator>
  <dc:description>Frontend, backend, database and operational readiness audit with gap checklists</dc:description>
  <cp:lastModifiedBy>Un-named</cp:lastModifiedBy>
  <cp:revision>1</cp:revision>
  <dcterms:created xsi:type="dcterms:W3CDTF">2026-08-12T15:36:40.092Z</dcterms:created>
  <dcterms:modified xsi:type="dcterms:W3CDTF">2026-08-12T15:36:40.092Z</dcterms:modified>
</cp:coreProperties>
</file>

<file path=docProps/custom.xml><?xml version="1.0" encoding="utf-8"?>
<Properties xmlns="http://schemas.openxmlformats.org/officeDocument/2006/custom-properties" xmlns:vt="http://schemas.openxmlformats.org/officeDocument/2006/docPropsVTypes"/>
</file>