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80"/>
        <w:jc w:val="center"/>
      </w:pPr>
      <w:r>
        <w:rPr>
          <w:rFonts w:ascii="Calibri" w:cs="Calibri" w:eastAsia="Calibri" w:hAnsi="Calibri"/>
          <w:b/>
          <w:bCs/>
          <w:color w:val="44546A"/>
          <w:spacing w:val="60"/>
          <w:sz w:val="24"/>
          <w:szCs w:val="24"/>
        </w:rPr>
        <w:t xml:space="preserve">GRIDIRON / SPORTS POOL</w:t>
      </w:r>
    </w:p>
    <w:p>
      <w:pPr>
        <w:spacing w:after="120"/>
        <w:jc w:val="center"/>
      </w:pPr>
      <w:r>
        <w:rPr>
          <w:rFonts w:ascii="Calibri" w:cs="Calibri" w:eastAsia="Calibri" w:hAnsi="Calibri"/>
          <w:b/>
          <w:bCs/>
          <w:color w:val="1F3864"/>
          <w:sz w:val="60"/>
          <w:szCs w:val="60"/>
        </w:rPr>
        <w:t xml:space="preserve">Full-Stack Audit</w:t>
      </w:r>
    </w:p>
    <w:p>
      <w:pPr>
        <w:spacing w:after="480"/>
        <w:jc w:val="center"/>
      </w:pPr>
      <w:r>
        <w:rPr>
          <w:rFonts w:ascii="Calibri" w:cs="Calibri" w:eastAsia="Calibri" w:hAnsi="Calibri"/>
          <w:color w:val="44546A"/>
          <w:sz w:val="26"/>
          <w:szCs w:val="26"/>
        </w:rPr>
        <w:t xml:space="preserve">Frontend, Backend, Database &amp; Operational Readiness</w:t>
      </w:r>
    </w:p>
    <w:p>
      <w:pPr>
        <w:pBdr>
          <w:top w:val="single" w:color="1F3864" w:sz="8" w:space="10"/>
        </w:pBdr>
        <w:spacing w:after="200"/>
        <w:jc w:val="center"/>
      </w:pP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600"/>
        <w:gridCol w:w="6760"/>
      </w:tblGrid>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Repository</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markravencanete50-source/sports_pool</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Audited commit</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12be24e (main) — verification cycle of 13 August 2026; original audit at 49d074e</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Supabase project</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veughegjwzsbjgcueyka</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Production</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sports-pool (Vercel) — deploy READY on 268b3d6, verified live</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Audit date</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12 August 2026 — findings and remediation; independently verified 13 August 2026 (Section 12)</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Data state at audit</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Pre-launch: 0 users, 0 pools, 0 cards, 0 transactions</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Verdict</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Ready for handover. The 13 August verification found the audited remediation had NEVER REACHED PRODUCTION — a sub-daily Vercel cron on the Hobby plan made Vercel refuse to create deployments, so five commits including the whole compliance layer silently never shipped while CI stayed green. That is fixed, guarded against recurrence, and production is verified live. Every remaining Critical and High item is now either a production credential, a legal opinion, or a processor approval; nothing outstanding is application code. Section 13 states what the client must do — wire the real keys, redeploy, watch /api/health go green, and run the money path once in test mode.</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Contents</w:t>
      </w:r>
    </w:p>
    <w:p>
      <w:pPr>
        <w:spacing w:after="90" w:line="276"/>
      </w:pPr>
      <w:r>
        <w:rPr>
          <w:rFonts w:ascii="Calibri" w:cs="Calibri" w:eastAsia="Calibri" w:hAnsi="Calibri"/>
          <w:color w:val="1A1A1A"/>
          <w:sz w:val="22"/>
          <w:szCs w:val="22"/>
        </w:rPr>
        <w:t xml:space="preserve">1.  Executive summary</w:t>
      </w:r>
    </w:p>
    <w:p>
      <w:pPr>
        <w:spacing w:after="90" w:line="276"/>
      </w:pPr>
      <w:r>
        <w:rPr>
          <w:rFonts w:ascii="Calibri" w:cs="Calibri" w:eastAsia="Calibri" w:hAnsi="Calibri"/>
          <w:color w:val="1A1A1A"/>
          <w:sz w:val="22"/>
          <w:szCs w:val="22"/>
        </w:rPr>
        <w:t xml:space="preserve">2.  Scope and method</w:t>
      </w:r>
    </w:p>
    <w:p>
      <w:pPr>
        <w:spacing w:after="90" w:line="276"/>
      </w:pPr>
      <w:r>
        <w:rPr>
          <w:rFonts w:ascii="Calibri" w:cs="Calibri" w:eastAsia="Calibri" w:hAnsi="Calibri"/>
          <w:color w:val="1A1A1A"/>
          <w:sz w:val="22"/>
          <w:szCs w:val="22"/>
        </w:rPr>
        <w:t xml:space="preserve">3.  System overview</w:t>
      </w:r>
    </w:p>
    <w:p>
      <w:pPr>
        <w:spacing w:after="90" w:line="276"/>
      </w:pPr>
      <w:r>
        <w:rPr>
          <w:rFonts w:ascii="Calibri" w:cs="Calibri" w:eastAsia="Calibri" w:hAnsi="Calibri"/>
          <w:color w:val="1A1A1A"/>
          <w:sz w:val="22"/>
          <w:szCs w:val="22"/>
        </w:rPr>
        <w:t xml:space="preserve">4.  Frontend audit</w:t>
      </w:r>
    </w:p>
    <w:p>
      <w:pPr>
        <w:spacing w:after="90" w:line="276"/>
      </w:pPr>
      <w:r>
        <w:rPr>
          <w:rFonts w:ascii="Calibri" w:cs="Calibri" w:eastAsia="Calibri" w:hAnsi="Calibri"/>
          <w:color w:val="1A1A1A"/>
          <w:sz w:val="22"/>
          <w:szCs w:val="22"/>
        </w:rPr>
        <w:t xml:space="preserve">5.  Backend audit</w:t>
      </w:r>
    </w:p>
    <w:p>
      <w:pPr>
        <w:spacing w:after="90" w:line="276"/>
      </w:pPr>
      <w:r>
        <w:rPr>
          <w:rFonts w:ascii="Calibri" w:cs="Calibri" w:eastAsia="Calibri" w:hAnsi="Calibri"/>
          <w:color w:val="1A1A1A"/>
          <w:sz w:val="22"/>
          <w:szCs w:val="22"/>
        </w:rPr>
        <w:t xml:space="preserve">6.  Database audit</w:t>
      </w:r>
    </w:p>
    <w:p>
      <w:pPr>
        <w:spacing w:after="90" w:line="276"/>
      </w:pPr>
      <w:r>
        <w:rPr>
          <w:rFonts w:ascii="Calibri" w:cs="Calibri" w:eastAsia="Calibri" w:hAnsi="Calibri"/>
          <w:color w:val="1A1A1A"/>
          <w:sz w:val="22"/>
          <w:szCs w:val="22"/>
        </w:rPr>
        <w:t xml:space="preserve">7.  Infrastructure and operations</w:t>
      </w:r>
    </w:p>
    <w:p>
      <w:pPr>
        <w:spacing w:after="90" w:line="276"/>
      </w:pPr>
      <w:r>
        <w:rPr>
          <w:rFonts w:ascii="Calibri" w:cs="Calibri" w:eastAsia="Calibri" w:hAnsi="Calibri"/>
          <w:color w:val="1A1A1A"/>
          <w:sz w:val="22"/>
          <w:szCs w:val="22"/>
        </w:rPr>
        <w:t xml:space="preserve">8.  Risk register</w:t>
      </w:r>
    </w:p>
    <w:p>
      <w:pPr>
        <w:spacing w:after="90" w:line="276"/>
      </w:pPr>
      <w:r>
        <w:rPr>
          <w:rFonts w:ascii="Calibri" w:cs="Calibri" w:eastAsia="Calibri" w:hAnsi="Calibri"/>
          <w:color w:val="1A1A1A"/>
          <w:sz w:val="22"/>
          <w:szCs w:val="22"/>
        </w:rPr>
        <w:t xml:space="preserve">9.  Checklists — lacking requirements</w:t>
      </w:r>
    </w:p>
    <w:p>
      <w:pPr>
        <w:spacing w:after="90" w:line="276"/>
      </w:pPr>
      <w:r>
        <w:rPr>
          <w:rFonts w:ascii="Calibri" w:cs="Calibri" w:eastAsia="Calibri" w:hAnsi="Calibri"/>
          <w:color w:val="1A1A1A"/>
          <w:sz w:val="22"/>
          <w:szCs w:val="22"/>
        </w:rPr>
        <w:t xml:space="preserve">10. Appendix A — API route inventory</w:t>
      </w:r>
    </w:p>
    <w:p>
      <w:pPr>
        <w:spacing w:after="90" w:line="276"/>
      </w:pPr>
      <w:r>
        <w:rPr>
          <w:rFonts w:ascii="Calibri" w:cs="Calibri" w:eastAsia="Calibri" w:hAnsi="Calibri"/>
          <w:color w:val="1A1A1A"/>
          <w:sz w:val="22"/>
          <w:szCs w:val="22"/>
        </w:rPr>
        <w:t xml:space="preserve">11. Appendix B — what this audit cycle fixed</w:t>
      </w:r>
    </w:p>
    <w:p>
      <w:pPr>
        <w:spacing w:after="90" w:line="276"/>
      </w:pPr>
      <w:r>
        <w:rPr>
          <w:rFonts w:ascii="Calibri" w:cs="Calibri" w:eastAsia="Calibri" w:hAnsi="Calibri"/>
          <w:color w:val="1A1A1A"/>
          <w:sz w:val="22"/>
          <w:szCs w:val="22"/>
        </w:rPr>
        <w:t xml:space="preserve">12. Verification cycle — 13 August 2026</w:t>
      </w:r>
    </w:p>
    <w:p>
      <w:pPr>
        <w:spacing w:after="90" w:line="276"/>
      </w:pPr>
      <w:r>
        <w:rPr>
          <w:rFonts w:ascii="Calibri" w:cs="Calibri" w:eastAsia="Calibri" w:hAnsi="Calibri"/>
          <w:color w:val="1A1A1A"/>
          <w:sz w:val="22"/>
          <w:szCs w:val="22"/>
        </w:rPr>
        <w:t xml:space="preserve">13. Handover state — what is left, and whose job it is</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  Executive summary</w:t>
      </w:r>
    </w:p>
    <w:p>
      <w:pPr>
        <w:spacing w:after="120" w:line="276"/>
      </w:pPr>
      <w:r>
        <w:rPr>
          <w:rFonts w:ascii="Calibri" w:cs="Calibri" w:eastAsia="Calibri" w:hAnsi="Calibri"/>
          <w:color w:val="1A1A1A"/>
          <w:sz w:val="21"/>
          <w:szCs w:val="21"/>
        </w:rPr>
        <w:t xml:space="preserve">This is a real-money contest platform: users pay an entry fee through Stripe, receive parlay cards, make picks against NFL fixtures, and a settlement engine splits the pot — less a platform fee — into winners' balances, which are withdrawn via PayPal. That makes correctness and authorization non-negotiable in a way an ordinary CRUD app never faces: a defect here does not corrupt data, it moves money.</w:t>
      </w:r>
    </w:p>
    <w:p>
      <w:pPr>
        <w:spacing w:after="120" w:line="276"/>
      </w:pPr>
      <w:r>
        <w:rPr>
          <w:rFonts w:ascii="Calibri" w:cs="Calibri" w:eastAsia="Calibri" w:hAnsi="Calibri"/>
          <w:color w:val="1A1A1A"/>
          <w:sz w:val="21"/>
          <w:szCs w:val="21"/>
        </w:rPr>
        <w:t xml:space="preserve">The application has been through several hardening cycles, and it shows. The money paths are defended in depth: purchase amounts derive from the Stripe session rather than the client, the webhook verifies its signature before parsing, fulfilment and payout completion are both idempotent, settlement credits balances through an atomic RPC, and two legacy endpoints that could issue free paid cards or write picks the scoring engine never reads have been retired as explicit 410s rather than quietly deleted. Row-level security is enabled on every public table, and column-level grants — not just policies — now stand between an ordinary account and its own balance.</w:t>
      </w:r>
    </w:p>
    <w:p>
      <w:pPr>
        <w:spacing w:after="120" w:line="276"/>
      </w:pPr>
      <w:r>
        <w:rPr>
          <w:rFonts w:ascii="Calibri" w:cs="Calibri" w:eastAsia="Calibri" w:hAnsi="Calibri"/>
          <w:color w:val="1A1A1A"/>
          <w:sz w:val="21"/>
          <w:szCs w:val="21"/>
        </w:rPr>
        <w:t xml:space="preserve">The 2026-08-12 remediation cycle closed every Medium and Low finding this audit had recorded, and four of the seven Highs. Error boundaries, client error reporting into a service-role-only error table, structured JSON logging on the money paths, a daily Stripe/PayPal reconciliation job, hourly settlement, an incident runbook with a documented backup and restore-rehearsal procedure, zod validation on every route that accepts input, an app-level breached-password check at signup, a blocking accessibility lint gate, complete page metadata with sitemap and robots, loading boundaries, and consolidated RLS policies all landed and were verified against the live database and the full CI gate. What remains open are three items that code alone cannot close — they need accounts, credentials or a product decision, and they are listed below.</w:t>
      </w:r>
    </w:p>
    <w:p>
      <w:pPr>
        <w:pStyle w:val="Heading3"/>
        <w:spacing w:after="100" w:before="200"/>
      </w:pPr>
      <w:r>
        <w:rPr>
          <w:rFonts w:ascii="Calibri" w:cs="Calibri" w:eastAsia="Calibri" w:hAnsi="Calibri"/>
          <w:b/>
          <w:bCs/>
          <w:color w:val="44546A"/>
          <w:sz w:val="22"/>
          <w:szCs w:val="22"/>
        </w:rPr>
        <w:t xml:space="preserve">Headline numbers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340"/>
        <w:gridCol w:w="2340"/>
        <w:gridCol w:w="2340"/>
        <w:gridCol w:w="2340"/>
      </w:tblGrid>
      <w:tr>
        <w:tc>
          <w:tcPr>
            <w:tcW w:type="dxa" w:w="2340"/>
            <w:shd w:fill="F2F5F9" w:color="auto" w:val="clear"/>
            <w:tcMar>
              <w:top w:type="dxa" w:w="80"/>
              <w:left w:type="dxa" w:w="120"/>
              <w:bottom w:type="dxa" w:w="80"/>
              <w:right w:type="dxa" w:w="120"/>
            </w:tcMar>
          </w:tcPr>
          <w:p>
            <w:pPr>
              <w:spacing w:after="0" w:line="260"/>
              <w:jc w:val="center"/>
            </w:pPr>
            <w:r>
              <w:rPr>
                <w:rFonts w:ascii="Calibri" w:cs="Calibri" w:eastAsia="Calibri" w:hAnsi="Calibri"/>
                <w:b/>
                <w:bCs/>
                <w:color w:val="1A1A1A"/>
                <w:sz w:val="30"/>
                <w:szCs w:val="30"/>
              </w:rPr>
              <w:t xml:space="preserve">52</w:t>
            </w:r>
          </w:p>
        </w:tc>
        <w:tc>
          <w:tcPr>
            <w:tcW w:type="dxa" w:w="2340"/>
            <w:shd w:fill="F2F5F9" w:color="auto" w:val="clear"/>
            <w:tcMar>
              <w:top w:type="dxa" w:w="80"/>
              <w:left w:type="dxa" w:w="120"/>
              <w:bottom w:type="dxa" w:w="80"/>
              <w:right w:type="dxa" w:w="120"/>
            </w:tcMar>
          </w:tcPr>
          <w:p>
            <w:pPr>
              <w:spacing w:after="0" w:line="260"/>
              <w:jc w:val="center"/>
            </w:pPr>
            <w:r>
              <w:rPr>
                <w:rFonts w:ascii="Calibri" w:cs="Calibri" w:eastAsia="Calibri" w:hAnsi="Calibri"/>
                <w:b/>
                <w:bCs/>
                <w:color w:val="1A1A1A"/>
                <w:sz w:val="30"/>
                <w:szCs w:val="30"/>
              </w:rPr>
              <w:t xml:space="preserve">32</w:t>
            </w:r>
          </w:p>
        </w:tc>
        <w:tc>
          <w:tcPr>
            <w:tcW w:type="dxa" w:w="234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30"/>
                <w:szCs w:val="30"/>
              </w:rPr>
              <w:t xml:space="preserve">2</w:t>
            </w:r>
          </w:p>
        </w:tc>
        <w:tc>
          <w:tcPr>
            <w:tcW w:type="dxa" w:w="234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30"/>
                <w:szCs w:val="30"/>
              </w:rPr>
              <w:t xml:space="preserve">2</w:t>
            </w:r>
          </w:p>
        </w:tc>
      </w:tr>
      <w:tr>
        <w:tc>
          <w:tcPr>
            <w:tcW w:type="dxa" w:w="2340"/>
            <w:shd w:fill="F2F5F9" w:color="auto" w:val="clear"/>
            <w:tcMar>
              <w:top w:type="dxa" w:w="80"/>
              <w:left w:type="dxa" w:w="120"/>
              <w:bottom w:type="dxa" w:w="80"/>
              <w:right w:type="dxa" w:w="120"/>
            </w:tcMar>
          </w:tcPr>
          <w:p>
            <w:pPr>
              <w:spacing w:after="0" w:line="260"/>
              <w:jc w:val="center"/>
            </w:pPr>
            <w:r>
              <w:rPr>
                <w:rFonts w:ascii="Calibri" w:cs="Calibri" w:eastAsia="Calibri" w:hAnsi="Calibri"/>
                <w:color w:val="1A1A1A"/>
                <w:sz w:val="19"/>
                <w:szCs w:val="19"/>
              </w:rPr>
              <w:t xml:space="preserve">API routes</w:t>
            </w:r>
          </w:p>
        </w:tc>
        <w:tc>
          <w:tcPr>
            <w:tcW w:type="dxa" w:w="2340"/>
            <w:shd w:fill="F2F5F9" w:color="auto" w:val="clear"/>
            <w:tcMar>
              <w:top w:type="dxa" w:w="80"/>
              <w:left w:type="dxa" w:w="120"/>
              <w:bottom w:type="dxa" w:w="80"/>
              <w:right w:type="dxa" w:w="120"/>
            </w:tcMar>
          </w:tcPr>
          <w:p>
            <w:pPr>
              <w:spacing w:after="0" w:line="260"/>
              <w:jc w:val="center"/>
            </w:pPr>
            <w:r>
              <w:rPr>
                <w:rFonts w:ascii="Calibri" w:cs="Calibri" w:eastAsia="Calibri" w:hAnsi="Calibri"/>
                <w:color w:val="1A1A1A"/>
                <w:sz w:val="19"/>
                <w:szCs w:val="19"/>
              </w:rPr>
              <w:t xml:space="preserve">DB migrations</w:t>
            </w:r>
          </w:p>
        </w:tc>
        <w:tc>
          <w:tcPr>
            <w:tcW w:type="dxa" w:w="2340"/>
            <w:shd w:fill="FFE0CC" w:color="auto" w:val="clear"/>
            <w:tcMar>
              <w:top w:type="dxa" w:w="80"/>
              <w:left w:type="dxa" w:w="120"/>
              <w:bottom w:type="dxa" w:w="80"/>
              <w:right w:type="dxa" w:w="120"/>
            </w:tcMar>
          </w:tcPr>
          <w:p>
            <w:pPr>
              <w:spacing w:after="0" w:line="260"/>
              <w:jc w:val="center"/>
            </w:pPr>
            <w:r>
              <w:rPr>
                <w:rFonts w:ascii="Calibri" w:cs="Calibri" w:eastAsia="Calibri" w:hAnsi="Calibri"/>
                <w:color w:val="8A3D00"/>
                <w:sz w:val="19"/>
                <w:szCs w:val="19"/>
              </w:rPr>
              <w:t xml:space="preserve">High-severity open risks</w:t>
            </w:r>
          </w:p>
        </w:tc>
        <w:tc>
          <w:tcPr>
            <w:tcW w:type="dxa" w:w="2340"/>
            <w:shd w:fill="FFF3CD" w:color="auto" w:val="clear"/>
            <w:tcMar>
              <w:top w:type="dxa" w:w="80"/>
              <w:left w:type="dxa" w:w="120"/>
              <w:bottom w:type="dxa" w:w="80"/>
              <w:right w:type="dxa" w:w="120"/>
            </w:tcMar>
          </w:tcPr>
          <w:p>
            <w:pPr>
              <w:spacing w:after="0" w:line="260"/>
              <w:jc w:val="center"/>
            </w:pPr>
            <w:r>
              <w:rPr>
                <w:rFonts w:ascii="Calibri" w:cs="Calibri" w:eastAsia="Calibri" w:hAnsi="Calibri"/>
                <w:color w:val="664D03"/>
                <w:sz w:val="19"/>
                <w:szCs w:val="19"/>
              </w:rPr>
              <w:t xml:space="preserve">Open findings total</w:t>
            </w:r>
          </w:p>
        </w:tc>
      </w:tr>
    </w:tbl>
    <w:p>
      <w:pPr>
        <w:spacing w:after="160"/>
      </w:pPr>
    </w:p>
    <w:p>
      <w:pPr>
        <w:pStyle w:val="Heading3"/>
        <w:spacing w:after="100" w:before="200"/>
      </w:pPr>
      <w:r>
        <w:rPr>
          <w:rFonts w:ascii="Calibri" w:cs="Calibri" w:eastAsia="Calibri" w:hAnsi="Calibri"/>
          <w:b/>
          <w:bCs/>
          <w:color w:val="44546A"/>
          <w:sz w:val="22"/>
          <w:szCs w:val="22"/>
        </w:rPr>
        <w:t xml:space="preserve">The three findings that should gate launch</w:t>
      </w:r>
    </w:p>
    <w:p>
      <w:pPr>
        <w:spacing w:after="120" w:line="276"/>
      </w:pPr>
      <w:r>
        <w:rPr>
          <w:rFonts w:ascii="Calibri" w:cs="Calibri" w:eastAsia="Calibri" w:hAnsi="Calibri"/>
          <w:b/>
          <w:bCs/>
          <w:color w:val="1A1A1A"/>
          <w:sz w:val="21"/>
          <w:szCs w:val="21"/>
        </w:rPr>
        <w:t xml:space="preserve">1.  Rate limiting is not actually distributed. </w:t>
      </w:r>
      <w:r>
        <w:rPr>
          <w:rFonts w:ascii="Calibri" w:cs="Calibri" w:eastAsia="Calibri" w:hAnsi="Calibri"/>
          <w:color w:val="1A1A1A"/>
          <w:sz w:val="21"/>
          <w:szCs w:val="21"/>
        </w:rPr>
        <w:t xml:space="preserve">The limiter supports Upstash Redis and falls back to an in-memory window when </w:t>
      </w:r>
      <w:r>
        <w:rPr>
          <w:rFonts w:ascii="Consolas" w:cs="Consolas" w:eastAsia="Consolas" w:hAnsi="Consolas"/>
          <w:color w:val="1A1A1A"/>
          <w:sz w:val="21"/>
          <w:szCs w:val="21"/>
        </w:rPr>
        <w:t xml:space="preserve">UPSTASH_REDIS_REST_URL</w:t>
      </w:r>
      <w:r>
        <w:rPr>
          <w:rFonts w:ascii="Calibri" w:cs="Calibri" w:eastAsia="Calibri" w:hAnsi="Calibri"/>
          <w:color w:val="1A1A1A"/>
          <w:sz w:val="21"/>
          <w:szCs w:val="21"/>
        </w:rPr>
        <w:t xml:space="preserve"> and </w:t>
      </w:r>
      <w:r>
        <w:rPr>
          <w:rFonts w:ascii="Consolas" w:cs="Consolas" w:eastAsia="Consolas" w:hAnsi="Consolas"/>
          <w:color w:val="1A1A1A"/>
          <w:sz w:val="21"/>
          <w:szCs w:val="21"/>
        </w:rPr>
        <w:t xml:space="preserve">UPSTASH_REDIS_REST_TOKEN</w:t>
      </w:r>
      <w:r>
        <w:rPr>
          <w:rFonts w:ascii="Calibri" w:cs="Calibri" w:eastAsia="Calibri" w:hAnsi="Calibri"/>
          <w:color w:val="1A1A1A"/>
          <w:sz w:val="21"/>
          <w:szCs w:val="21"/>
        </w:rPr>
        <w:t xml:space="preserve"> are unset. They are unset. On Vercel each serverless instance therefore keeps its own counter, so the effective limit on sign-in — the credential-stuffing defence — is the configured limit multiplied by however many instances are warm. This is a two-minute fix with a disproportionate payoff.</w:t>
      </w:r>
    </w:p>
    <w:p>
      <w:pPr>
        <w:spacing w:after="120" w:line="276"/>
      </w:pPr>
      <w:r>
        <w:rPr>
          <w:rFonts w:ascii="Calibri" w:cs="Calibri" w:eastAsia="Calibri" w:hAnsi="Calibri"/>
          <w:b/>
          <w:bCs/>
          <w:color w:val="1A1A1A"/>
          <w:sz w:val="21"/>
          <w:szCs w:val="21"/>
        </w:rPr>
        <w:t xml:space="preserve">2.  No end-to-end verification of the money path. </w:t>
      </w:r>
      <w:r>
        <w:rPr>
          <w:rFonts w:ascii="Calibri" w:cs="Calibri" w:eastAsia="Calibri" w:hAnsi="Calibri"/>
          <w:color w:val="1A1A1A"/>
          <w:sz w:val="21"/>
          <w:szCs w:val="21"/>
        </w:rPr>
        <w:t xml:space="preserve">The settlement mathematics has a genuine regression suite (243 combinations, cent-exact). The path around it — Stripe Checkout → webhook → card issued → picks → scoring → balance credit → PayPal payout — has never been executed end to end against real infrastructure. Every individual link has been reasoned about and several have been fixed; the chain has not been pulled. The database is empty, which makes this the cheapest it will ever be to do.</w:t>
      </w:r>
    </w:p>
    <w:p>
      <w:pPr>
        <w:spacing w:after="120" w:line="276"/>
      </w:pPr>
      <w:r>
        <w:rPr>
          <w:rFonts w:ascii="Calibri" w:cs="Calibri" w:eastAsia="Calibri" w:hAnsi="Calibri"/>
          <w:b/>
          <w:bCs/>
          <w:color w:val="1A1A1A"/>
          <w:sz w:val="21"/>
          <w:szCs w:val="21"/>
        </w:rPr>
        <w:t xml:space="preserve">3.  The regulatory questions are still questions. </w:t>
      </w:r>
      <w:r>
        <w:rPr>
          <w:rFonts w:ascii="Calibri" w:cs="Calibri" w:eastAsia="Calibri" w:hAnsi="Calibri"/>
          <w:color w:val="1A1A1A"/>
          <w:sz w:val="21"/>
          <w:szCs w:val="21"/>
        </w:rPr>
        <w:t xml:space="preserve">The enforcement machinery for Section 9.F now exists and is tested — age, jurisdiction, self-exclusion, deposit limits, KYC thresholds and data rights are all enforced server-side at the money boundary. What the code cannot supply is the content of the rules: which territories this product may operate in, and whether Stripe and PayPal will approve the use case. The jurisdiction table ships with a conservative starter set explicitly marked as requiring confirmation, so counsel's answer lands as a row update rather than a release. Until that answer exists, the platform is enforcing a placeholder.</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2.  Scope and method</w:t>
      </w:r>
    </w:p>
    <w:p>
      <w:pPr>
        <w:spacing w:after="120" w:line="276"/>
      </w:pPr>
      <w:r>
        <w:rPr>
          <w:rFonts w:ascii="Calibri" w:cs="Calibri" w:eastAsia="Calibri" w:hAnsi="Calibri"/>
          <w:color w:val="1A1A1A"/>
          <w:sz w:val="21"/>
          <w:szCs w:val="21"/>
        </w:rPr>
        <w:t xml:space="preserve">This audit reads the code and interrogates the live systems; it does not rely on prior reports. Every claim below was checked against one of four sources:</w:t>
      </w:r>
    </w:p>
    <w:p>
      <w:pPr>
        <w:pStyle w:val="ListParagraph"/>
        <w:numPr>
          <w:ilvl w:val="0"/>
          <w:numId w:val="2"/>
        </w:numPr>
        <w:spacing w:after="80" w:line="276"/>
      </w:pPr>
      <w:r>
        <w:rPr>
          <w:rFonts w:ascii="Calibri" w:cs="Calibri" w:eastAsia="Calibri" w:hAnsi="Calibri"/>
          <w:sz w:val="21"/>
          <w:szCs w:val="21"/>
        </w:rPr>
        <w:t xml:space="preserve">The repository at commit 49d074e and the remediation branch on top of it — 46 API routes, 20 pages, 63 components, 55 library modules, 30 SQL migrations.</w:t>
      </w:r>
    </w:p>
    <w:p>
      <w:pPr>
        <w:pStyle w:val="ListParagraph"/>
        <w:numPr>
          <w:ilvl w:val="0"/>
          <w:numId w:val="2"/>
        </w:numPr>
        <w:spacing w:after="80" w:line="276"/>
      </w:pPr>
      <w:r>
        <w:rPr>
          <w:rFonts w:ascii="Calibri" w:cs="Calibri" w:eastAsia="Calibri" w:hAnsi="Calibri"/>
          <w:sz w:val="21"/>
          <w:szCs w:val="21"/>
        </w:rPr>
        <w:t xml:space="preserve">The live Supabase project, queried directly for policies, grants, triggers, function definitions, row counts and linter output.</w:t>
      </w:r>
    </w:p>
    <w:p>
      <w:pPr>
        <w:pStyle w:val="ListParagraph"/>
        <w:numPr>
          <w:ilvl w:val="0"/>
          <w:numId w:val="2"/>
        </w:numPr>
        <w:spacing w:after="80" w:line="276"/>
      </w:pPr>
      <w:r>
        <w:rPr>
          <w:rFonts w:ascii="Calibri" w:cs="Calibri" w:eastAsia="Calibri" w:hAnsi="Calibri"/>
          <w:sz w:val="21"/>
          <w:szCs w:val="21"/>
        </w:rPr>
        <w:t xml:space="preserve">The live Vercel project, for deployment state and build history.</w:t>
      </w:r>
    </w:p>
    <w:p>
      <w:pPr>
        <w:pStyle w:val="ListParagraph"/>
        <w:numPr>
          <w:ilvl w:val="0"/>
          <w:numId w:val="2"/>
        </w:numPr>
        <w:spacing w:after="80" w:line="276"/>
      </w:pPr>
      <w:r>
        <w:rPr>
          <w:rFonts w:ascii="Calibri" w:cs="Calibri" w:eastAsia="Calibri" w:hAnsi="Calibri"/>
          <w:sz w:val="21"/>
          <w:szCs w:val="21"/>
        </w:rPr>
        <w:t xml:space="preserve">The repository's own CI configuration and gate results.</w:t>
      </w:r>
    </w:p>
    <w:p>
      <w:pPr>
        <w:spacing w:after="80"/>
      </w:pPr>
    </w:p>
    <w:p>
      <w:pPr>
        <w:spacing w:after="120" w:line="276"/>
      </w:pPr>
      <w:r>
        <w:rPr>
          <w:rFonts w:ascii="Calibri" w:cs="Calibri" w:eastAsia="Calibri" w:hAnsi="Calibri"/>
          <w:color w:val="1A1A1A"/>
          <w:sz w:val="21"/>
          <w:szCs w:val="21"/>
        </w:rPr>
        <w:t xml:space="preserve">Where a control is present, it is marked Pass and described, because an audit that lists only problems gives a false picture of a system's shape. Where something is missing, it is stated plainly and given a severity reflecting its consequence on a real-money product specifically.</w:t>
      </w:r>
    </w:p>
    <w:p>
      <w:pPr>
        <w:pStyle w:val="Heading3"/>
        <w:spacing w:after="100" w:before="200"/>
      </w:pPr>
      <w:r>
        <w:rPr>
          <w:rFonts w:ascii="Calibri" w:cs="Calibri" w:eastAsia="Calibri" w:hAnsi="Calibri"/>
          <w:b/>
          <w:bCs/>
          <w:color w:val="44546A"/>
          <w:sz w:val="22"/>
          <w:szCs w:val="22"/>
        </w:rPr>
        <w:t xml:space="preserve">What this audit does not cover</w:t>
      </w:r>
    </w:p>
    <w:p>
      <w:pPr>
        <w:pStyle w:val="ListParagraph"/>
        <w:numPr>
          <w:ilvl w:val="0"/>
          <w:numId w:val="2"/>
        </w:numPr>
        <w:spacing w:after="80" w:line="276"/>
      </w:pPr>
      <w:r>
        <w:rPr>
          <w:rFonts w:ascii="Calibri" w:cs="Calibri" w:eastAsia="Calibri" w:hAnsi="Calibri"/>
          <w:sz w:val="21"/>
          <w:szCs w:val="21"/>
        </w:rPr>
        <w:t xml:space="preserve">Penetration testing. No live exploitation was attempted against the production deployment.</w:t>
      </w:r>
    </w:p>
    <w:p>
      <w:pPr>
        <w:pStyle w:val="ListParagraph"/>
        <w:numPr>
          <w:ilvl w:val="0"/>
          <w:numId w:val="2"/>
        </w:numPr>
        <w:spacing w:after="80" w:line="276"/>
      </w:pPr>
      <w:r>
        <w:rPr>
          <w:rFonts w:ascii="Calibri" w:cs="Calibri" w:eastAsia="Calibri" w:hAnsi="Calibri"/>
          <w:sz w:val="21"/>
          <w:szCs w:val="21"/>
        </w:rPr>
        <w:t xml:space="preserve">Legal and regulatory compliance. Section 9.F raises the questions a real-money contest platform must answer, but those require qualified counsel in each operating jurisdiction — nothing here is legal advice.</w:t>
      </w:r>
    </w:p>
    <w:p>
      <w:pPr>
        <w:pStyle w:val="ListParagraph"/>
        <w:numPr>
          <w:ilvl w:val="0"/>
          <w:numId w:val="2"/>
        </w:numPr>
        <w:spacing w:after="80" w:line="276"/>
      </w:pPr>
      <w:r>
        <w:rPr>
          <w:rFonts w:ascii="Calibri" w:cs="Calibri" w:eastAsia="Calibri" w:hAnsi="Calibri"/>
          <w:sz w:val="21"/>
          <w:szCs w:val="21"/>
        </w:rPr>
        <w:t xml:space="preserve">Load and performance testing under concurrency. The database has never served real traffic.</w:t>
      </w:r>
    </w:p>
    <w:p>
      <w:pPr>
        <w:pStyle w:val="ListParagraph"/>
        <w:numPr>
          <w:ilvl w:val="0"/>
          <w:numId w:val="2"/>
        </w:numPr>
        <w:spacing w:after="80" w:line="276"/>
      </w:pPr>
      <w:r>
        <w:rPr>
          <w:rFonts w:ascii="Calibri" w:cs="Calibri" w:eastAsia="Calibri" w:hAnsi="Calibri"/>
          <w:sz w:val="21"/>
          <w:szCs w:val="21"/>
        </w:rPr>
        <w:t xml:space="preserve">Third-party account configuration inside the Stripe and PayPal dashboards, which is not visible from the code.</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3.  System overview</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200"/>
        <w:gridCol w:w="7160"/>
      </w:tblGrid>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Framework</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Next.js 16.3.0, App Router. Route protection in src/proxy.ts (Next 16's rename of middleware.ts).</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Runtime</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React 19.2.3, TypeScript 5, Node 22.</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UI</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Tailwind CSS v4, Radix UI primitives, Framer Motion, Recharts, next-themes.</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Data layer</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TanStack Query v5 on the client; Supabase JS on both sides.</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Database</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Supabase Postgres. RLS on every public table, plus a private schema of SECURITY DEFINER helpers.</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Auth</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Supabase Auth, email + password (10 chars, mixed case, digit). Session in an httpOnly cookie.</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Payments in</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Stripe Checkout. Webhook is the source of truth for fulfilment.</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Payments out</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PayPal Payouts, admin-approved.</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Sports data</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ESPN scoreboard feed.</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Throttling</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Upstash Redis via HTTP REST, with an in-memory fallback.</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Hosting</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Vercel. One cron: /api/cron/settle, daily at 08:00 UTC.</w:t>
            </w:r>
          </w:p>
        </w:tc>
      </w:tr>
    </w:tbl>
    <w:p>
      <w:pPr>
        <w:spacing w:after="160"/>
      </w:pPr>
    </w:p>
    <w:p>
      <w:pPr>
        <w:pStyle w:val="Heading3"/>
        <w:spacing w:after="100" w:before="200"/>
      </w:pPr>
      <w:r>
        <w:rPr>
          <w:rFonts w:ascii="Calibri" w:cs="Calibri" w:eastAsia="Calibri" w:hAnsi="Calibri"/>
          <w:b/>
          <w:bCs/>
          <w:color w:val="44546A"/>
          <w:sz w:val="22"/>
          <w:szCs w:val="22"/>
        </w:rPr>
        <w:t xml:space="preserve">The two-client model</w:t>
      </w:r>
    </w:p>
    <w:p>
      <w:pPr>
        <w:spacing w:after="120" w:line="276"/>
      </w:pPr>
      <w:r>
        <w:rPr>
          <w:rFonts w:ascii="Calibri" w:cs="Calibri" w:eastAsia="Calibri" w:hAnsi="Calibri"/>
          <w:color w:val="1A1A1A"/>
          <w:sz w:val="21"/>
          <w:szCs w:val="21"/>
        </w:rPr>
        <w:t xml:space="preserve">The codebase maintains a deliberate split that is worth stating because most of the security model rests on it. A request-scoped client carries the caller's JWT and is subject to row-level security — this is what every user-facing read and write uses. A service-role client bypasses RLS entirely and is confined to server-side fulfilment, settlement and admin operations. The database is written so that the RLS path alone is sufficient to protect user data, and the service-role path is treated as a privilege that must be justified at each call site rather than a convenience.</w:t>
      </w:r>
    </w:p>
    <w:p>
      <w:pPr>
        <w:pStyle w:val="Heading3"/>
        <w:spacing w:after="100" w:before="200"/>
      </w:pPr>
      <w:r>
        <w:rPr>
          <w:rFonts w:ascii="Calibri" w:cs="Calibri" w:eastAsia="Calibri" w:hAnsi="Calibri"/>
          <w:b/>
          <w:bCs/>
          <w:color w:val="44546A"/>
          <w:sz w:val="22"/>
          <w:szCs w:val="22"/>
        </w:rPr>
        <w:t xml:space="preserve">Where authorization actually lives</w:t>
      </w:r>
    </w:p>
    <w:p>
      <w:pPr>
        <w:spacing w:after="120" w:line="276"/>
      </w:pPr>
      <w:r>
        <w:rPr>
          <w:rFonts w:ascii="Calibri" w:cs="Calibri" w:eastAsia="Calibri" w:hAnsi="Calibri"/>
          <w:color w:val="1A1A1A"/>
          <w:sz w:val="21"/>
          <w:szCs w:val="21"/>
        </w:rPr>
        <w:t xml:space="preserve">src/proxy.ts gates page routes by session and role, but the file documents itself as defence-in-depth rather than the boundary — route handlers can be reached directly in some deployment topologies. The real boundary is per-route: requireAdmin() for admin surfaces, ownership predicates in RLS for user data, and secret-gated guards that fail closed for the two machine endpoints. This is the correct arrangement, and the code is explicit about it.</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4.  Frontend audit</w:t>
      </w:r>
    </w:p>
    <w:p>
      <w:pPr>
        <w:pStyle w:val="Heading2"/>
        <w:spacing w:after="140" w:before="280"/>
      </w:pPr>
      <w:r>
        <w:rPr>
          <w:rFonts w:ascii="Calibri" w:cs="Calibri" w:eastAsia="Calibri" w:hAnsi="Calibri"/>
          <w:b/>
          <w:bCs/>
          <w:color w:val="1F3864"/>
          <w:sz w:val="26"/>
          <w:szCs w:val="26"/>
        </w:rPr>
        <w:t xml:space="preserve">4.1  Injection and content security</w:t>
      </w:r>
    </w:p>
    <w:p>
      <w:pPr>
        <w:spacing w:after="120" w:line="276"/>
      </w:pPr>
      <w:r>
        <w:rPr>
          <w:rFonts w:ascii="Calibri" w:cs="Calibri" w:eastAsia="Calibri" w:hAnsi="Calibri"/>
          <w:color w:val="1A1A1A"/>
          <w:sz w:val="21"/>
          <w:szCs w:val="21"/>
        </w:rPr>
        <w:t xml:space="preserve">The frontend has no DOM-injection sinks at all. A sweep for dangerouslySetInnerHTML, direct innerHTML assignment, eval and the Function constructor across all 83 component and page files returns nothing. All rendering goes through JSX, so React's escaping applies universally — including to chat messages, which are the one place where user-authored text from another person reaches your screen.</w:t>
      </w:r>
    </w:p>
    <w:p>
      <w:pPr>
        <w:spacing w:after="120" w:line="276"/>
      </w:pPr>
      <w:r>
        <w:rPr>
          <w:rFonts w:ascii="Calibri" w:cs="Calibri" w:eastAsia="Calibri" w:hAnsi="Calibri"/>
          <w:color w:val="1A1A1A"/>
          <w:sz w:val="21"/>
          <w:szCs w:val="21"/>
        </w:rPr>
        <w:t xml:space="preserve">The Content Security Policy is nonce-based and assembled per request in src/lib/csp.ts, then set by the proxy on every document response. script-src carries no 'unsafe-inline' in production; Next's inline bootstrap is authorised by the nonce instead. frame-ancestors is 'none'. style-src retains 'unsafe-inline' — a deliberate and correctly-reasoned exception, since Tailwind injects style attributes at runtime and inline CSS cannot execute JavaScript.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No dangerouslySetInnerHTML, innerHTML, eval or new Function anywhere in src/.</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 at 49d074e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FE-2</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Nonce-based CSP; 'unsafe-inline' absent from script-src in production.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src/lib/csp.ts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FE-3</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Session cookie is httpOnly; realtime authenticates via a separate short-lived access token that cannot be renewed.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in 697472d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FE-4</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All images route through next/image; zero raw &lt;img&gt; tags.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w:t>
            </w:r>
          </w:p>
        </w:tc>
      </w:tr>
    </w:tbl>
    <w:p>
      <w:pPr>
        <w:pStyle w:val="Heading2"/>
        <w:spacing w:after="140" w:before="280"/>
      </w:pPr>
      <w:r>
        <w:rPr>
          <w:rFonts w:ascii="Calibri" w:cs="Calibri" w:eastAsia="Calibri" w:hAnsi="Calibri"/>
          <w:b/>
          <w:bCs/>
          <w:color w:val="1F3864"/>
          <w:sz w:val="26"/>
          <w:szCs w:val="26"/>
        </w:rPr>
        <w:t xml:space="preserve">4.2  Error handling and resilience</w:t>
      </w:r>
    </w:p>
    <w:p>
      <w:pPr>
        <w:spacing w:after="120" w:line="276"/>
      </w:pPr>
      <w:r>
        <w:rPr>
          <w:rFonts w:ascii="Calibri" w:cs="Calibri" w:eastAsia="Calibri" w:hAnsi="Calibri"/>
          <w:color w:val="1A1A1A"/>
          <w:sz w:val="21"/>
          <w:szCs w:val="21"/>
        </w:rPr>
        <w:t xml:space="preserve">This was the weakest area of the frontend at the start of the cycle — no error boundary of any kind existed — and it is now closed at every level. src/app/error.tsx catches route-level render failures and src/app/global-error.tsx catches a failure of the root layout itself; both redact the internal message in production, surface the error digest for support correlation, and report the failure to /api/client-errors so it lands in the app_errors table where an operator can see it. Loading boundaries exist at the root and in each route group, so every navigation shows a server-driven fallback instead of a frozen screen — necessary here because the nonce-based CSP makes every page render per-request.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FE-5</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Error boundaries now present at both levels: src/app/error.tsx for route failures and src/app/global-error.tsx for root-layout failures. The internal error message is redacted in production and a digest is surfaced for support correlation.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 verified in-browser</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FE-6</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loading.tsx boundaries at the root and in all three route groups; every navigation has a suspense fallback.</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FE-7</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Client errors now reach an operator: both boundaries POST to /api/client-errors (rate-limited, zod-capped, session-attributed server-side), which files reports in the service-role-only app_errors table.</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4.3  Accessibility</w:t>
      </w:r>
    </w:p>
    <w:p>
      <w:pPr>
        <w:spacing w:after="120" w:line="276"/>
      </w:pPr>
      <w:r>
        <w:rPr>
          <w:rFonts w:ascii="Calibri" w:cs="Calibri" w:eastAsia="Calibri" w:hAnsi="Calibri"/>
          <w:color w:val="1A1A1A"/>
          <w:sz w:val="21"/>
          <w:szCs w:val="21"/>
        </w:rPr>
        <w:t xml:space="preserve">Accessibility now has an automated floor that CI enforces: 21 jsx-a11y rules run at error severity in the blocking lint gate. Turning the gate on surfaced 23 real defects — clickable &lt;div&gt;s with no keyboard path across the pool-type selector, game selection cards, friend invites and the purchase flow, plus unassociated form labels — and every one was fixed with native semantics: real &lt;button&gt; elements with aria-pressed state, htmlFor/id label pairing, and role="button" with explicit key handling only where nesting made a native button impossible. Radix UI continues to supply correct primitive semantics underneath.</w:t>
      </w:r>
    </w:p>
    <w:p>
      <w:pPr>
        <w:spacing w:after="120" w:line="276"/>
      </w:pPr>
      <w:r>
        <w:rPr>
          <w:rFonts w:ascii="Calibri" w:cs="Calibri" w:eastAsia="Calibri" w:hAnsi="Calibri"/>
          <w:color w:val="1A1A1A"/>
          <w:sz w:val="21"/>
          <w:szCs w:val="21"/>
        </w:rPr>
        <w:t xml:space="preserve">The gate is a floor, not a ceiling: it stops keyboard and semantic regressions from landing, but a manual screen-reader pass before launch is still the professional standard for a product that takes payments.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FE-8</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21 jsx-a11y rules enforced at error severity in blocking CI; 23 keyboard/label defects found and fixed with native semantics. Manual screen-reader pass recommended before launch (9.D).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4.4  SEO and discoverability</w:t>
      </w:r>
    </w:p>
    <w:p>
      <w:pPr>
        <w:spacing w:after="120" w:line="276"/>
      </w:pPr>
      <w:r>
        <w:rPr>
          <w:rFonts w:ascii="Calibri" w:cs="Calibri" w:eastAsia="Calibri" w:hAnsi="Calibri"/>
          <w:color w:val="1A1A1A"/>
          <w:sz w:val="21"/>
          <w:szCs w:val="21"/>
        </w:rPr>
        <w:t xml:space="preserve">Every page now carries metadata: server pages export it directly, and the client-component pages received fifteen small server layout files whose only job is to hold the title and description Next.js requires to live in a server file. sitemap.ts enumerates the public, logged-out surface — pool pages are deliberately absent so private pools cannot leak existence through a sitemap — and robots.ts disallows the authenticated routes, not as a security control but to stop crawlers burning budget on redirects. The remaining item is architectural rather than a defect: the root layout sets force-dynamic so the per-request CSP nonce can be applied, which trades CDN caching of the marketing pages for a strict content-security posture. That trade is documented and accepted; the loading boundaries added this cycle absorb its UX cost.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FE-9</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All pages define metadata; sitemap.ts covers the public surface; robots.ts steers crawlers away from authenticated routes.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FE-10</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force-dynamic remains global so the per-request CSP nonce holds everywhere — a deliberate security-over-caching trade, documented, with loading boundaries absorbing the UX cost.</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Accepted design decision</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5.  Backend audit</w:t>
      </w:r>
    </w:p>
    <w:p>
      <w:pPr>
        <w:pStyle w:val="Heading2"/>
        <w:spacing w:after="140" w:before="280"/>
      </w:pPr>
      <w:r>
        <w:rPr>
          <w:rFonts w:ascii="Calibri" w:cs="Calibri" w:eastAsia="Calibri" w:hAnsi="Calibri"/>
          <w:b/>
          <w:bCs/>
          <w:color w:val="1F3864"/>
          <w:sz w:val="26"/>
          <w:szCs w:val="26"/>
        </w:rPr>
        <w:t xml:space="preserve">5.1  Authentication and authorization</w:t>
      </w:r>
    </w:p>
    <w:p>
      <w:pPr>
        <w:spacing w:after="120" w:line="276"/>
      </w:pPr>
      <w:r>
        <w:rPr>
          <w:rFonts w:ascii="Calibri" w:cs="Calibri" w:eastAsia="Calibri" w:hAnsi="Calibri"/>
          <w:color w:val="1A1A1A"/>
          <w:sz w:val="21"/>
          <w:szCs w:val="21"/>
        </w:rPr>
        <w:t xml:space="preserve">requireAdmin() reads the role from the users table and deliberately ignores the JWT's app_metadata.role claim. The reasoning in the code is exactly right and worth preserving: Supabase cannot revoke an already-issued access token, so trusting the claim would leave a demoted or offboarded admin with full admin API access until their token expired — up to an hour after the revocation was written. The database's is_admin() helper is table-authoritative for the same reason, so the two layers agree.</w:t>
      </w:r>
    </w:p>
    <w:p>
      <w:pPr>
        <w:spacing w:after="120" w:line="276"/>
      </w:pPr>
      <w:r>
        <w:rPr>
          <w:rFonts w:ascii="Calibri" w:cs="Calibri" w:eastAsia="Calibri" w:hAnsi="Calibri"/>
          <w:color w:val="1A1A1A"/>
          <w:sz w:val="21"/>
          <w:szCs w:val="21"/>
        </w:rPr>
        <w:t xml:space="preserve">Password policy requires 10 characters with mixed case and a digit, enforced in a shared zod schema so it applies on every path rather than only at signup. The signup route deliberately refuses to echo Supabase's "User already registered" message, which would otherwise turn the endpoint into a user-enumeration oracle against a gambling site — it logs the real reason and answers generically.</w:t>
      </w:r>
    </w:p>
    <w:p>
      <w:pPr>
        <w:spacing w:after="120" w:line="276"/>
      </w:pPr>
      <w:r>
        <w:rPr>
          <w:rFonts w:ascii="Calibri" w:cs="Calibri" w:eastAsia="Calibri" w:hAnsi="Calibri"/>
          <w:color w:val="1A1A1A"/>
          <w:sz w:val="21"/>
          <w:szCs w:val="21"/>
        </w:rPr>
        <w:t xml:space="preserve">Breached-password screening, previously unavailable because Supabase gates its HaveIBeenPwned integration behind a paid plan, is now implemented at the application layer instead: signup hashes the candidate password with SHA-1, sends only the first five hex characters to the HIBP range API (k-anonymity — the password never leaves the server, and HIBP cannot reconstruct it), and rejects credentials that appear in known breach corpora. The check fails open on any network error so an HIBP outage cannot block signups, distinguishes real breach counts from the API's padding entries, and is pinned by unit tests covering detection, padding and the fail-open path.</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Admin checks are table-authoritative, not JWT-claim-based, so role revocation takes effect immediately.</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src/lib/require-admin.ts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BE-2</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Signup does not leak account existence; enumeration oracle closed.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in 8dd4a4b</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BE-3</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App-level breached-password check at signup via the HIBP range API (k-anonymity, fail-open, padding-aware), replacing the plan-gated Supabase feature. Unit-tested offline.</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BE-4</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TOTP two-factor enforced on the admin actions that move money or change privilege (payout completion, role changes, pool settings). Designed so enrolment cannot lock an admin out: an unpresented factor is refused, and the enrolment routes sit outside the check.</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5.2  Request guards — CSRF, throttling, validation</w:t>
      </w:r>
    </w:p>
    <w:p>
      <w:pPr>
        <w:spacing w:after="120" w:line="276"/>
      </w:pPr>
      <w:r>
        <w:rPr>
          <w:rFonts w:ascii="Calibri" w:cs="Calibri" w:eastAsia="Calibri" w:hAnsi="Calibri"/>
          <w:color w:val="1A1A1A"/>
          <w:sz w:val="21"/>
          <w:szCs w:val="21"/>
        </w:rPr>
        <w:t xml:space="preserve">Cross-site request forgery is comprehensively handled. Every authenticated state-changing route calls assertSameOrigin — 25 routes in total. The four mutating routes that do not are correct not to: the Stripe webhook authenticates by signature, seed-admin and cron/settle are gated on shared secrets that fail closed when unset, and newsletter/subscribe is unauthenticated, so there is no victim session for an attacker to ride.</w:t>
      </w:r>
    </w:p>
    <w:p>
      <w:pPr>
        <w:spacing w:after="120" w:line="276"/>
      </w:pPr>
      <w:r>
        <w:rPr>
          <w:rFonts w:ascii="Calibri" w:cs="Calibri" w:eastAsia="Calibri" w:hAnsi="Calibri"/>
          <w:color w:val="1A1A1A"/>
          <w:sz w:val="21"/>
          <w:szCs w:val="21"/>
        </w:rPr>
        <w:t xml:space="preserve">Rate limiting and input validation, the two thin controls of the previous cycle, are now both complete. Every state-changing route enforces a limit tuned to its abuse economics — tight windows on the unauthenticated intake endpoints, generous ceilings on admin work that must never trip during a legitimate payout run. Every route that accepts input parses it through a shared zod schema in src/lib/validations.ts: bodies on the mutating routes, and uuid validation on path parameters so a malformed id answers 404 instead of leaking a database error. The routes without a schema are exactly the ones that should not have one — secret-gated crons with no body, the signature-authenticated Stripe webhook, and signout.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BE-5</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CSRF origin checks on all 25 authenticated state-changing routes; the four exceptions are correctly justified.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 route by route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BE-6</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Rate limiting now covers every state-changing route — 24 in total, including invitation accept/decline, notification read, card picks and lock, pool update and delete, game outcome, admin payout completion and the admin config surfaces.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 429 verified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BE-7</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Every input-accepting route validates through shared zod schemas (bodies and uuid path params); schema-less routes are exactly the secret-gated/signature-authenticated set.</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5.3  Money paths</w:t>
      </w:r>
    </w:p>
    <w:p>
      <w:pPr>
        <w:spacing w:after="120" w:line="276"/>
      </w:pPr>
      <w:r>
        <w:rPr>
          <w:rFonts w:ascii="Calibri" w:cs="Calibri" w:eastAsia="Calibri" w:hAnsi="Calibri"/>
          <w:color w:val="1A1A1A"/>
          <w:sz w:val="21"/>
          <w:szCs w:val="21"/>
        </w:rPr>
        <w:t xml:space="preserve">This is the part of the system that has received the most attention, and it holds up well under reading.</w:t>
      </w:r>
    </w:p>
    <w:p>
      <w:pPr>
        <w:pStyle w:val="ListParagraph"/>
        <w:numPr>
          <w:ilvl w:val="0"/>
          <w:numId w:val="2"/>
        </w:numPr>
        <w:spacing w:after="80" w:line="276"/>
      </w:pPr>
      <w:r>
        <w:rPr>
          <w:rFonts w:ascii="Calibri" w:cs="Calibri" w:eastAsia="Calibri" w:hAnsi="Calibri"/>
          <w:sz w:val="21"/>
          <w:szCs w:val="21"/>
        </w:rPr>
        <w:t xml:space="preserve">Purchase amounts are derived from the Stripe session server-side. The client cannot influence price.</w:t>
      </w:r>
    </w:p>
    <w:p>
      <w:pPr>
        <w:pStyle w:val="ListParagraph"/>
        <w:numPr>
          <w:ilvl w:val="0"/>
          <w:numId w:val="2"/>
        </w:numPr>
        <w:spacing w:after="80" w:line="276"/>
      </w:pPr>
      <w:r>
        <w:rPr>
          <w:rFonts w:ascii="Calibri" w:cs="Calibri" w:eastAsia="Calibri" w:hAnsi="Calibri"/>
          <w:sz w:val="21"/>
          <w:szCs w:val="21"/>
        </w:rPr>
        <w:t xml:space="preserve">The webhook calls constructEvent on the raw body before any parsing, so the signature covers exactly what was signed.</w:t>
      </w:r>
    </w:p>
    <w:p>
      <w:pPr>
        <w:pStyle w:val="ListParagraph"/>
        <w:numPr>
          <w:ilvl w:val="0"/>
          <w:numId w:val="2"/>
        </w:numPr>
        <w:spacing w:after="80" w:line="276"/>
      </w:pPr>
      <w:r>
        <w:rPr>
          <w:rFonts w:ascii="Calibri" w:cs="Calibri" w:eastAsia="Calibri" w:hAnsi="Calibri"/>
          <w:sz w:val="21"/>
          <w:szCs w:val="21"/>
        </w:rPr>
        <w:t xml:space="preserve">Fulfilment is idempotent twice over: a cheap transaction lookup short-circuits repeats, and a unique index closes the race window that lookup alone would leave open.</w:t>
      </w:r>
    </w:p>
    <w:p>
      <w:pPr>
        <w:pStyle w:val="ListParagraph"/>
        <w:numPr>
          <w:ilvl w:val="0"/>
          <w:numId w:val="2"/>
        </w:numPr>
        <w:spacing w:after="80" w:line="276"/>
      </w:pPr>
      <w:r>
        <w:rPr>
          <w:rFonts w:ascii="Calibri" w:cs="Calibri" w:eastAsia="Calibri" w:hAnsi="Calibri"/>
          <w:sz w:val="21"/>
          <w:szCs w:val="21"/>
        </w:rPr>
        <w:t xml:space="preserve">Payout completion checks user_transactions for an existing reference before paying, so a double-submitted approval cannot pay twice.</w:t>
      </w:r>
    </w:p>
    <w:p>
      <w:pPr>
        <w:pStyle w:val="ListParagraph"/>
        <w:numPr>
          <w:ilvl w:val="0"/>
          <w:numId w:val="2"/>
        </w:numPr>
        <w:spacing w:after="80" w:line="276"/>
      </w:pPr>
      <w:r>
        <w:rPr>
          <w:rFonts w:ascii="Calibri" w:cs="Calibri" w:eastAsia="Calibri" w:hAnsi="Calibri"/>
          <w:sz w:val="21"/>
          <w:szCs w:val="21"/>
        </w:rPr>
        <w:t xml:space="preserve">Settlement credits winner balances through an atomic RPC rather than an absolute write, eliminating a lost-update window.</w:t>
      </w:r>
    </w:p>
    <w:p>
      <w:pPr>
        <w:pStyle w:val="ListParagraph"/>
        <w:numPr>
          <w:ilvl w:val="0"/>
          <w:numId w:val="2"/>
        </w:numPr>
        <w:spacing w:after="80" w:line="276"/>
      </w:pPr>
      <w:r>
        <w:rPr>
          <w:rFonts w:ascii="Calibri" w:cs="Calibri" w:eastAsia="Calibri" w:hAnsi="Calibri"/>
          <w:sz w:val="21"/>
          <w:szCs w:val="21"/>
        </w:rPr>
        <w:t xml:space="preserve">The platform fee is locked per pool at creation, so changing the global rate mid-pool cannot re-split an in-flight pot.</w:t>
      </w:r>
    </w:p>
    <w:p>
      <w:pPr>
        <w:pStyle w:val="ListParagraph"/>
        <w:numPr>
          <w:ilvl w:val="0"/>
          <w:numId w:val="2"/>
        </w:numPr>
        <w:spacing w:after="80" w:line="276"/>
      </w:pPr>
      <w:r>
        <w:rPr>
          <w:rFonts w:ascii="Calibri" w:cs="Calibri" w:eastAsia="Calibri" w:hAnsi="Calibri"/>
          <w:sz w:val="21"/>
          <w:szCs w:val="21"/>
        </w:rPr>
        <w:t xml:space="preserve">Two legacy endpoints — one that issued paid cards with no payment, one that wrote picks the scoring engine never reads — are retired as explicit 410s so stragglers fail loudly rather than silently.</w:t>
      </w:r>
    </w:p>
    <w:p>
      <w:pPr>
        <w:spacing w:after="80"/>
      </w:pPr>
    </w:p>
    <w:p>
      <w:pPr>
        <w:spacing w:after="120" w:line="276"/>
      </w:pPr>
      <w:r>
        <w:rPr>
          <w:rFonts w:ascii="Calibri" w:cs="Calibri" w:eastAsia="Calibri" w:hAnsi="Calibri"/>
          <w:color w:val="1A1A1A"/>
          <w:sz w:val="21"/>
          <w:szCs w:val="21"/>
        </w:rPr>
        <w:t xml:space="preserve">The chain is now also watched from the outside: a daily reconciliation cron (/api/cron/reconcile, secret-gated, read-only by design) pulls both ends of each money flow and files every mismatch in app_errors. It checks in both directions — every paid Stripe checkout session must have a completed pool_transactions row, and every completed ledger row must correspond to a paid session, so both a lost webhook and a fabricated transaction surface. Completed payouts must carry a traceable PayPal batch id. Reconciliation deliberately never repairs records automatically: a wrong automatic fix is strictly worse than a loud mismatch.</w:t>
      </w:r>
    </w:p>
    <w:p>
      <w:pPr>
        <w:spacing w:after="120" w:line="276"/>
      </w:pPr>
      <w:r>
        <w:rPr>
          <w:rFonts w:ascii="Calibri" w:cs="Calibri" w:eastAsia="Calibri" w:hAnsi="Calibri"/>
          <w:color w:val="1A1A1A"/>
          <w:sz w:val="21"/>
          <w:szCs w:val="21"/>
        </w:rPr>
        <w:t xml:space="preserve">The remaining reservation is unchanged in kind: the chain has never been pulled end to end against live Stripe and PayPal infrastructure. Idempotency that is correct by inspection — and now unit-tested at the library layer — is still not the same as idempotency observed surviving a genuine duplicate webhook delivery. That run needs real test-mode credentials and is specified step by step in Section 9.A.</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BE-8</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Stripe webhook verifies signature before parsing; fulfilment idempotent via transaction lookup plus unique index.</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BE-9</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Payout completion is idempotent; settlement credits balances atomically; per-pool fee lock prevents mid-pool re-splits.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BE-10</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No end-to-end run of purchase → fulfilment → picks → settlement → payout against real Stripe/PayPal test infrastructure. Needs live test-mode credentials; procedure specified in 9.A.</w:t>
            </w:r>
          </w:p>
        </w:tc>
        <w:tc>
          <w:tcPr>
            <w:tcW w:type="dxa" w:w="118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Open — external credentials required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BE-11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Daily reconciliation cron compares Stripe sessions against pool_transactions in both directions and verifies every completed payout carries a PayPal batch id; mismatches are filed in app_errors.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6.  Database audit</w:t>
      </w:r>
    </w:p>
    <w:p>
      <w:pPr>
        <w:spacing w:after="120" w:line="276"/>
      </w:pPr>
      <w:r>
        <w:rPr>
          <w:rFonts w:ascii="Calibri" w:cs="Calibri" w:eastAsia="Calibri" w:hAnsi="Calibri"/>
          <w:color w:val="1A1A1A"/>
          <w:sz w:val="21"/>
          <w:szCs w:val="21"/>
        </w:rPr>
        <w:t xml:space="preserve">Twenty-nine migrations, row-level security enabled on every public table, and — after this cycle — column-level grants backing the policies rather than policies alone. The distinction matters and the codebase learned it the hard way: RLS cannot restrict which columns an UPDATE touches. Only grants can. A table-wide UPDATE grant to authenticated on public.users meant a single WITH CHECK predicate was the only thing between an ordinary account and crediting its own balance or promoting itself to admin.</w:t>
      </w:r>
    </w:p>
    <w:p>
      <w:pPr>
        <w:pStyle w:val="Heading3"/>
        <w:spacing w:after="100" w:before="200"/>
      </w:pPr>
      <w:r>
        <w:rPr>
          <w:rFonts w:ascii="Calibri" w:cs="Calibri" w:eastAsia="Calibri" w:hAnsi="Calibri"/>
          <w:b/>
          <w:bCs/>
          <w:color w:val="44546A"/>
          <w:sz w:val="22"/>
          <w:szCs w:val="22"/>
        </w:rPr>
        <w:t xml:space="preserve">Live invariants, verified by direct query</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6200"/>
        <w:gridCol w:w="3160"/>
      </w:tblGrid>
      <w:tr>
        <w:trPr>
          <w:tblHeader/>
        </w:trPr>
        <w:tc>
          <w:tcPr>
            <w:tcW w:type="dxa" w:w="6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Invariant</w:t>
            </w:r>
          </w:p>
        </w:tc>
        <w:tc>
          <w:tcPr>
            <w:tcW w:type="dxa" w:w="31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State</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RLS enabled on every public table</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Yes</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pools settlement-guard triggers attached</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Exactly 1</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pool_invitations immutability-guard triggers attached</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Exactly 1</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Loose self-invite INSERT policy</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Removed</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authenticated write grant on platform_settings</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None</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anon direct SELECT on pool_winners</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Revoked (RPC-only)</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Client INSERT/UPDATE on users.balance or users.role</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None</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get_public_winners filters to public pools</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Yes</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app_errors reachable by anon/authenticated</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No — service-role only</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Permissive SELECT policies per consolidated table</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Exactly 1</w:t>
            </w:r>
          </w:p>
        </w:tc>
      </w:tr>
    </w:tbl>
    <w:p>
      <w:pPr>
        <w:spacing w:after="160"/>
      </w:pPr>
    </w:p>
    <w:p>
      <w:pPr>
        <w:pStyle w:val="Heading3"/>
        <w:spacing w:after="100" w:before="200"/>
      </w:pPr>
      <w:r>
        <w:rPr>
          <w:rFonts w:ascii="Calibri" w:cs="Calibri" w:eastAsia="Calibri" w:hAnsi="Calibri"/>
          <w:b/>
          <w:bCs/>
          <w:color w:val="44546A"/>
          <w:sz w:val="22"/>
          <w:szCs w:val="22"/>
        </w:rPr>
        <w:t xml:space="preserve">Advisor output</w:t>
      </w:r>
    </w:p>
    <w:p>
      <w:pPr>
        <w:spacing w:after="120" w:line="276"/>
      </w:pPr>
      <w:r>
        <w:rPr>
          <w:rFonts w:ascii="Calibri" w:cs="Calibri" w:eastAsia="Calibri" w:hAnsi="Calibri"/>
          <w:color w:val="1A1A1A"/>
          <w:sz w:val="21"/>
          <w:szCs w:val="21"/>
        </w:rPr>
        <w:t xml:space="preserve">Supabase's security linter reports four warnings, all of which are intentional and each of which carries a COMMENT ON FUNCTION in the database recording why. Three functions — get_public_winners, get_pool_financials and get_pools_financials — are deliberately anon-executable because the logged-out lobby and the homepage winners ticker need them; each returns aggregates or a minimal projection rather than rows, and revoking anon reintroduces a "$0 prize pot" display bug. claim_pool_payout is deliberately authenticated-executable and derives identity from auth.uid() rather than trusting a parameter.</w:t>
      </w:r>
    </w:p>
    <w:p>
      <w:pPr>
        <w:spacing w:after="120" w:line="276"/>
      </w:pPr>
      <w:r>
        <w:rPr>
          <w:rFonts w:ascii="Calibri" w:cs="Calibri" w:eastAsia="Calibri" w:hAnsi="Calibri"/>
          <w:color w:val="1A1A1A"/>
          <w:sz w:val="21"/>
          <w:szCs w:val="21"/>
        </w:rPr>
        <w:t xml:space="preserve">The performance linter's multiple-permissive-policies warnings are gone: the five tables that carried an "admin can view all" policy alongside a "user can view own" policy for the same role and action now each hold exactly one SELECT policy with the admin arm folded in — verified live after migration, with a DO-block invariant in the migration itself asserting the end state. What remains is INFO-level only: unused indexes, which cannot register use before the database serves traffic and should be re-evaluated under real load rather than dropped now, and a deliberate rls_enabled_no_policy note on app_errors — that table has RLS enabled and no policies precisely so no client role can touch it.</w:t>
      </w:r>
    </w:p>
    <w:p>
      <w:pPr>
        <w:spacing w:after="120" w:line="276"/>
      </w:pPr>
      <w:r>
        <w:rPr>
          <w:rFonts w:ascii="Calibri" w:cs="Calibri" w:eastAsia="Calibri" w:hAnsi="Calibri"/>
          <w:color w:val="1A1A1A"/>
          <w:sz w:val="21"/>
          <w:szCs w:val="21"/>
        </w:rPr>
        <w:t xml:space="preserve">One live defect was found this cycle by adversarially impersonating an ordinary signed-in user against the production database. Every attack was refused — but two of them, escalating your own role and crediting your own balance, were refused by a RECURSION ERROR rather than by the control meant to refuse them. The UPDATE policy pinned role and balance by comparing against subqueries that read public.users, so evaluating the policy required evaluating the SELECT policy on the same table, which Postgres rejects (42P17).</w:t>
      </w:r>
    </w:p>
    <w:p>
      <w:pPr>
        <w:spacing w:after="120" w:line="276"/>
      </w:pPr>
      <w:r>
        <w:rPr>
          <w:rFonts w:ascii="Calibri" w:cs="Calibri" w:eastAsia="Calibri" w:hAnsi="Calibri"/>
          <w:color w:val="1A1A1A"/>
          <w:sz w:val="21"/>
          <w:szCs w:val="21"/>
        </w:rPr>
        <w:t xml:space="preserve">A block that happens by accident is not a control, and the same error broke the legitimate path: every client UPDATE on public.users raised, including a user changing their own display name. It had been latent since 20260804000000 and was invisible because the database has no real users yet — it would have surfaced as a hard failure on the first day of traffic. Fixed by reading the current row through SECURITY DEFINER helpers that do not re-enter the table's policies, with the fix asserted in-migration rather than assumed.</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RLS on every public table, backed by column-level grants on the money and identity columns.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 live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DB-6</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Infinite recursion (42P17) in the users UPDATE policy blocked all client profile updates and turned two privilege-escalation refusals into accidents rather than controls. Fixed via private SECURITY DEFINER accessors; 12 of 12 attacks now refused by real controls with the legitimate path restored.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Found and fixed by adversarial testing</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DB-2</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Four SECURITY DEFINER advisor warnings, all intentional and documented in-database via COMMENT ON FUNCTION.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Accepted exceptions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DB-3</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SELECT policies consolidated to one per table on users, user_transactions, user_payout_accounts, payout_requests and payout_approvals; advisor warnings cleared, invariant asserted in-migration.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 — verified live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DB-4</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Unused-index INFO notices are expected on a zero-traffic database and deliberately retained; dropping indexes before real query patterns exist would be premature.</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Accepted — re-evaluate under load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DB-5</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Backup, retention and restore-rehearsal policy documented in docs/RUNBOOK.md §2, including the post-restore reconciliation step. Enabling PITR and performing the first rehearsal are operator actions listed in 9.A.</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 — rehearsal pending</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7.  Infrastructure and operations</w:t>
      </w:r>
    </w:p>
    <w:p>
      <w:pPr>
        <w:pStyle w:val="Heading2"/>
        <w:spacing w:after="140" w:before="280"/>
      </w:pPr>
      <w:r>
        <w:rPr>
          <w:rFonts w:ascii="Calibri" w:cs="Calibri" w:eastAsia="Calibri" w:hAnsi="Calibri"/>
          <w:b/>
          <w:bCs/>
          <w:color w:val="1F3864"/>
          <w:sz w:val="26"/>
          <w:szCs w:val="26"/>
        </w:rPr>
        <w:t xml:space="preserve">7.1  Build and continuous integration</w:t>
      </w:r>
    </w:p>
    <w:p>
      <w:pPr>
        <w:spacing w:after="120" w:line="276"/>
      </w:pPr>
      <w:r>
        <w:rPr>
          <w:rFonts w:ascii="Calibri" w:cs="Calibri" w:eastAsia="Calibri" w:hAnsi="Calibri"/>
          <w:color w:val="1A1A1A"/>
          <w:sz w:val="21"/>
          <w:szCs w:val="21"/>
        </w:rPr>
        <w:t xml:space="preserve">CI runs on every push and pull request and blocks a merge on four gates: typecheck, the unit and settlement regression suites, a full production build, and lint — which now enforces the accessibility ruleset at error severity alongside the TypeScript rules. All four gates are green at the commit this document describes.</w:t>
      </w:r>
    </w:p>
    <w:p>
      <w:pPr>
        <w:spacing w:after="120" w:line="276"/>
      </w:pPr>
      <w:r>
        <w:rPr>
          <w:rFonts w:ascii="Calibri" w:cs="Calibri" w:eastAsia="Calibri" w:hAnsi="Calibri"/>
          <w:color w:val="1A1A1A"/>
          <w:sz w:val="21"/>
          <w:szCs w:val="21"/>
        </w:rPr>
        <w:t xml:space="preserve">The build itself runs through webpack rather than Turbopack. This was not a preference: Next 16.3.0's Turbopack build omits the Node file-trace manifest that Vercel's packaging step reads, and two production deploys failed on exactly that before the cause was isolated. The current production deployment is green.</w:t>
      </w:r>
    </w:p>
    <w:p>
      <w:pPr>
        <w:pStyle w:val="Heading2"/>
        <w:spacing w:after="140" w:before="280"/>
      </w:pPr>
      <w:r>
        <w:rPr>
          <w:rFonts w:ascii="Calibri" w:cs="Calibri" w:eastAsia="Calibri" w:hAnsi="Calibri"/>
          <w:b/>
          <w:bCs/>
          <w:color w:val="1F3864"/>
          <w:sz w:val="26"/>
          <w:szCs w:val="26"/>
        </w:rPr>
        <w:t xml:space="preserve">7.2  Scheduled work</w:t>
      </w:r>
    </w:p>
    <w:p>
      <w:pPr>
        <w:spacing w:after="120" w:line="276"/>
      </w:pPr>
      <w:r>
        <w:rPr>
          <w:rFonts w:ascii="Calibri" w:cs="Calibri" w:eastAsia="Calibri" w:hAnsi="Calibri"/>
          <w:color w:val="1A1A1A"/>
          <w:sz w:val="21"/>
          <w:szCs w:val="21"/>
        </w:rPr>
        <w:t xml:space="preserve">Two Vercel crons run, both authenticated by a bearer secret that fails closed when unset. /api/cron/settle now runs hourly rather than daily — a pool whose last game ends Sunday evening settles within the hour instead of Monday morning, which is the difference between winnings appearing promptly and players reading the delay as a fault. Settlement is idempotent per pool, so the tighter schedule adds no double-pay risk. /api/cron/reconcile runs daily, pulling Stripe and PayPal records against the ledger and filing mismatches in app_errors; it also purges error rows past the 90-day retention window.</w:t>
      </w:r>
    </w:p>
    <w:p>
      <w:pPr>
        <w:pStyle w:val="Heading2"/>
        <w:spacing w:after="140" w:before="280"/>
      </w:pPr>
      <w:r>
        <w:rPr>
          <w:rFonts w:ascii="Calibri" w:cs="Calibri" w:eastAsia="Calibri" w:hAnsi="Calibri"/>
          <w:b/>
          <w:bCs/>
          <w:color w:val="1F3864"/>
          <w:sz w:val="26"/>
          <w:szCs w:val="26"/>
        </w:rPr>
        <w:t xml:space="preserve">7.3  Observability</w:t>
      </w:r>
    </w:p>
    <w:p>
      <w:pPr>
        <w:spacing w:after="120" w:line="276"/>
      </w:pPr>
      <w:r>
        <w:rPr>
          <w:rFonts w:ascii="Calibri" w:cs="Calibri" w:eastAsia="Calibri" w:hAnsi="Calibri"/>
          <w:color w:val="1A1A1A"/>
          <w:sz w:val="21"/>
          <w:szCs w:val="21"/>
        </w:rPr>
        <w:t xml:space="preserve">Observability was this audit's single largest operational gap; the detection layer now exists and is durable. Server money-path failures — a webhook fulfilment that cannot be completed, a PayPal payout that fails after the balance moved — are written to the app_errors table through recordAppError(), alongside every client crash report and every reconciliation mismatch. The table is service-role-only by construction (RLS enabled, zero policies, zero client grants) because error records routinely contain internals. Structured JSON logging (logEvent) instruments the same paths, so the Vercel log stream is searchable rather than 69 loose console statements, and the reconcile cron is itself a scheduled detector for the failures that never throw.</w:t>
      </w:r>
    </w:p>
    <w:p>
      <w:pPr>
        <w:spacing w:after="120" w:line="276"/>
      </w:pPr>
      <w:r>
        <w:rPr>
          <w:rFonts w:ascii="Calibri" w:cs="Calibri" w:eastAsia="Calibri" w:hAnsi="Calibri"/>
          <w:color w:val="1A1A1A"/>
          <w:sz w:val="21"/>
          <w:szCs w:val="21"/>
        </w:rPr>
        <w:t xml:space="preserve">What this design deliberately leaves outside the repository is the alert destination: something must watch app_errors and page a human — a scheduled query, a log drain, or a Sentry-class service wired to the same seams. That choice needs an account and an owner, and docs/RUNBOOK.md §3 carries it as an explicit pre-launch provisioning step alongside the Upstash variables.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CI blocks merges on typecheck, settlement tests and build. Lint is clean and could now be promoted to blocking.</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Working</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OPS-2</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Error capture (app_errors, service-role only), client crash reporting, structured JSON logging and a scheduled reconciliation detector are live. External alert destination and uptime probe remain operator provisioning (runbook §3).</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in code — destination pending</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OPS-3</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Upstash env vars unset in production, so rate limiting degrades to per-instance in-memory windows. The code path is ready and tested; this is a five-minute provisioning task (runbook §3).</w:t>
            </w:r>
          </w:p>
        </w:tc>
        <w:tc>
          <w:tcPr>
            <w:tcW w:type="dxa" w:w="118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Open — external provisioning required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OPS-4</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Settlement runs hourly; reconciliation runs daily. Both secret-gated, both idempotent.</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OPS-5</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docs/RUNBOOK.md covers the failure modes that matter — failed webhook, failed payout batch (both shapes), mis-settled pool, processor outage, missed cron — plus backup/restore and pre-launch provisioning.</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7.4  Testing</w:t>
      </w:r>
    </w:p>
    <w:p>
      <w:pPr>
        <w:spacing w:after="120" w:line="276"/>
      </w:pPr>
      <w:r>
        <w:rPr>
          <w:rFonts w:ascii="Calibri" w:cs="Calibri" w:eastAsia="Calibri" w:hAnsi="Calibri"/>
          <w:color w:val="1A1A1A"/>
          <w:sz w:val="21"/>
          <w:szCs w:val="21"/>
        </w:rPr>
        <w:t xml:space="preserve">One test exists: scripts/verify-settlement.ts, which exercises the scoring, tie-break and cent-exact pot split across 243 combinations. It is genuinely good, it runs in CI, and it has already caught a real regression when a merge reintroduced pre-audit payout mathematics.</w:t>
      </w:r>
    </w:p>
    <w:p>
      <w:pPr>
        <w:spacing w:after="120" w:line="276"/>
      </w:pPr>
      <w:r>
        <w:rPr>
          <w:rFonts w:ascii="Calibri" w:cs="Calibri" w:eastAsia="Calibri" w:hAnsi="Calibri"/>
          <w:color w:val="1A1A1A"/>
          <w:sz w:val="21"/>
          <w:szCs w:val="21"/>
        </w:rPr>
        <w:t xml:space="preserve">It no longer stands alone. A unit suite (tests/lib.test.ts, node:test via tsx, no framework dependency and no network) now pins the security-critical library layer: the open-redirect clamp, the CSRF origin boundary, the rate limiter's budget and 429 shape, the production CSP's nonce and unsafe-inline exclusion, the password policy and the money-route schemas, and the HIBP breach check's parsing, padding handling and fail-open behaviour. Eighteen tests run in the blocking CI gate alongside the settlement suite. The guards these tests pin are the shared enforcement layer every route passes through, which is deliberate: one tested seam protecting 46 routes beats 46 shallow route tests. The gap that remains is the end-to-end harness, which is the same item as BE-10 — it needs real test-mode processor credentials, not more code.</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OPS-6</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Settlement regression suite (243 combinations) runs in CI and has caught a real payout-math regression.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scripts/verify-settlement.ts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OPS-7</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Unit suite pins the shared guard layer (redirect clamp, CSRF, rate limiter, CSP, schemas, breach check) and runs in blocking CI beside the settlement suite. E2E harness is tracked as BE-10.</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8.  Risk register</w:t>
      </w:r>
    </w:p>
    <w:p>
      <w:pPr>
        <w:spacing w:after="120" w:line="276"/>
      </w:pPr>
      <w:r>
        <w:rPr>
          <w:rFonts w:ascii="Calibri" w:cs="Calibri" w:eastAsia="Calibri" w:hAnsi="Calibri"/>
          <w:color w:val="1A1A1A"/>
          <w:sz w:val="21"/>
          <w:szCs w:val="21"/>
        </w:rPr>
        <w:t xml:space="preserve">Open items ranked by consequence on a real-money product. Passed controls are omitted here; they appear in Sections 4 to 7. Fifteen findings from this register were closed by the 2026-08-12 remediation cycle; the three that remain all require an account, credentials or a decision that lives outside the repository.</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00"/>
        <w:gridCol w:w="3500"/>
        <w:gridCol w:w="3400"/>
        <w:gridCol w:w="1760"/>
      </w:tblGrid>
      <w:tr>
        <w:trPr>
          <w:tblHeader/>
        </w:trPr>
        <w:tc>
          <w:tcPr>
            <w:tcW w:type="dxa" w:w="7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35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Risk</w:t>
            </w:r>
          </w:p>
        </w:tc>
        <w:tc>
          <w:tcPr>
            <w:tcW w:type="dxa" w:w="34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Consequence if it lands</w:t>
            </w:r>
          </w:p>
        </w:tc>
        <w:tc>
          <w:tcPr>
            <w:tcW w:type="dxa" w:w="17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LEG-1</w:t>
            </w:r>
          </w:p>
        </w:tc>
        <w:tc>
          <w:tcPr>
            <w:tcW w:type="dxa" w:w="35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No legal opinion on operating jurisdictions</w:t>
            </w:r>
          </w:p>
        </w:tc>
        <w:tc>
          <w:tcPr>
            <w:tcW w:type="dxa" w:w="34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platform enforces a placeholder rule set. Operating in a prohibited or licensed territory risks enforcement action and frozen funds — the largest single risk this project carries</w:t>
            </w:r>
          </w:p>
        </w:tc>
        <w:tc>
          <w:tcPr>
            <w:tcW w:type="dxa" w:w="176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OPS-3</w:t>
            </w:r>
          </w:p>
        </w:tc>
        <w:tc>
          <w:tcPr>
            <w:tcW w:type="dxa" w:w="35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Rate limiting is per-instance until Upstash is provisioned</w:t>
            </w:r>
          </w:p>
        </w:tc>
        <w:tc>
          <w:tcPr>
            <w:tcW w:type="dxa" w:w="34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Credential stuffing against user accounts holding real balances is throttled far more weakly than intended; two env vars close it</w:t>
            </w:r>
          </w:p>
        </w:tc>
        <w:tc>
          <w:tcPr>
            <w:tcW w:type="dxa" w:w="176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BE-10</w:t>
            </w:r>
          </w:p>
        </w:tc>
        <w:tc>
          <w:tcPr>
            <w:tcW w:type="dxa" w:w="35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Money path never executed end to end against real processors</w:t>
            </w:r>
          </w:p>
        </w:tc>
        <w:tc>
          <w:tcPr>
            <w:tcW w:type="dxa" w:w="34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 break anywhere in purchase → settlement → payout is found by a paying user, not by you; needs Stripe/PayPal test credentials</w:t>
            </w:r>
          </w:p>
        </w:tc>
        <w:tc>
          <w:tcPr>
            <w:tcW w:type="dxa" w:w="176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LEG-2</w:t>
            </w:r>
          </w:p>
        </w:tc>
        <w:tc>
          <w:tcPr>
            <w:tcW w:type="dxa" w:w="35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Processor approval for the use case unconfirmed</w:t>
            </w:r>
          </w:p>
        </w:tc>
        <w:tc>
          <w:tcPr>
            <w:tcW w:type="dxa" w:w="34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Stripe and PayPal restrict contest businesses; operating outside the agreed category risks account termination with player funds held</w:t>
            </w:r>
          </w:p>
        </w:tc>
        <w:tc>
          <w:tcPr>
            <w:tcW w:type="dxa" w:w="176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9.  Checklists — lacking requirements</w:t>
      </w:r>
    </w:p>
    <w:p>
      <w:pPr>
        <w:spacing w:after="120" w:line="276"/>
      </w:pPr>
      <w:r>
        <w:rPr>
          <w:rFonts w:ascii="Calibri" w:cs="Calibri" w:eastAsia="Calibri" w:hAnsi="Calibri"/>
          <w:color w:val="1A1A1A"/>
          <w:sz w:val="21"/>
          <w:szCs w:val="21"/>
        </w:rPr>
        <w:t xml:space="preserve">Updated for the 2026-08-12 remediation cycle: items the cycle closed have been removed, and what remains is genuinely outstanding — almost all of it operator provisioning, external verification, or product/legal decisions rather than code. Section 9.A must be cleared before the platform holds a single real deposit; the rest is ordered by how much it will hurt to have skipped.</w:t>
      </w:r>
    </w:p>
    <w:p>
      <w:pPr>
        <w:pStyle w:val="Heading2"/>
        <w:spacing w:after="140" w:before="280"/>
      </w:pPr>
      <w:r>
        <w:rPr>
          <w:rFonts w:ascii="Calibri" w:cs="Calibri" w:eastAsia="Calibri" w:hAnsi="Calibri"/>
          <w:b/>
          <w:bCs/>
          <w:color w:val="1F3864"/>
          <w:sz w:val="26"/>
          <w:szCs w:val="26"/>
        </w:rPr>
        <w:t xml:space="preserve">9.A  Blocking — before real money moves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Provision Upstash Redis and set both env vars</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UPSTASH_REDIS_REST_URL and UPSTASH_REDIS_REST_TOKEN are unset in production, so every throttle — including the sign-in limit protecting accounts with balances — degrades to a per-instance in-memory window that serverless scatters across processes. The limiter code path is ready and unit-tested; this is the last two-minute fix with a disproportionate payoff. (OPS-3)</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Execute the money path end to end in Stripe test mode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Purchase → webhook → card issued → picks → settlement → balance credit → PayPal payout. This chain has never been run whole. Include a deliberately duplicated webhook delivery to prove idempotency under real conditions rather than by inspection. (BE-10)</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Verify the Stripe webhook endpoint and secret in the live dashboard</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STRIPE_WEBHOOK_SECRET must match the live endpoint. If the webhook is misconfigured a user is charged and receives no card — the exact failure the fulfilment code is written to prevent, and the exact mismatch the new reconcile cron will flag the morning after.</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Confirm PAYPAL_MODE is live and credentials are production</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code refuses to fail open to sandbox, so a misconfiguration blocks payouts rather than faking them — but it must be set correctly before the first withdrawal request arrives.</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Set SUPABASE_SERVICE_ROLE_KEY in the Vercel production environment — NEW, BLOCKING</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Unset in production. Vercel's own runtime errors carry '[cron/settle] fatal: Missing SUPABASE_SERVICE_ROLE_KEY' first seen 5 August and recurring to 12 August, and the health probe added on 13 August reported config and database down within a minute of going live. Every service-role path is therefore dead in production: pool settlement never completes, and the Stripe webhook cannot fulfil a purchase — a user can be charged and receive nothing. The site serves normally, which is exactly why this went unnoticed for eight days. Confirm with: curl -H "Authorization: Bearer $CRON_SECRET" https://sports-pool.vercel.app/api/health</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Point an alert at app_errors and stand up an uptime probe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/api/health is a two-shape probe: status code only when anonymous, full component breakdown under CRON_SECRET, 503 reserved for failures that mean the instance cannot serve. /api/cron/alert digests app_errors grouped by source and normalised message, and logs the digest whether or not a webhook is configured so alerting can never be the thing that hides an error. Scheduled every two hours from .github/workflows/alert.yml. It earned its keep immediately by catching the service-role gap above. (OPS-2)</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Enable PITR and perform the first restore rehearsal</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backup and restore procedure is documented in docs/RUNBOOK.md §2, including the post-restore reconciliation step. It has not yet been rehearsed, and a daily snapshot alone can lose up to 24 hours of money movements. (DB-5 residual)</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Decide and ship admin MFA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both halves are now in main. require-admin.ts demands aal2 on payout completion, role changes and platform-fee edits, and /account/security is the TOTP enrolment screen driving /api/me/mfa. The rollout order is the safe one: an admin holding no factor is refused with mfa_enrollment_required while the enrolment routes stay ungated, so nobody can be locked out of enrolling. The enrolment screen was sitting unmerged in PR #2 while enforcement was already live — a state in which admins could not approve payouts and had no UI to fix it. Each admin must now enrol before approving a payout. (BE-4)</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Unset SETUP_SECRET once the admin account exists — DONE IN CODE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by removing the need for the manual step. /api/seed-admin now checks for an existing admin and answers 410 once one exists, failing closed if that check itself errors. Bootstrap is a once-ever operation, so after it the only correct answer is no. Unsetting the variable is still good hygiene and remains in the runbook, but forgetting it is no longer a hole — which matters across a handover, where whoever set the variable is not whoever operates the system.</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bl>
    <w:p>
      <w:pPr>
        <w:pStyle w:val="Heading2"/>
        <w:spacing w:after="140" w:before="280"/>
      </w:pPr>
      <w:r>
        <w:rPr>
          <w:rFonts w:ascii="Calibri" w:cs="Calibri" w:eastAsia="Calibri" w:hAnsi="Calibri"/>
          <w:b/>
          <w:bCs/>
          <w:color w:val="1F3864"/>
          <w:sz w:val="26"/>
          <w:szCs w:val="26"/>
        </w:rPr>
        <w:t xml:space="preserve">9.B  Security hardening</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Add an admin action audit log — ALREADY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Correction: this item was stale in the 12 August edition. recordAdminAction() exists and is wired into all four privileged write paths — payout completion, platform-fee settings, user role change and MFA enrolment — writing actor, action, target and before/after state to admin_audit_log, a dedicated table separate from app_errors. Both verified live on 13 August. (An earlier draft of this row said "payout approval"; there is no such route — completion is the money action.) No work outstanding.</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Schedule a dependency vulnerability scan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'npm audit --audit-level=high' blocks CI, and .github/dependabot.yml proposes the upgrades weekly, grouped so the PR is small enough to actually be read — Next and the money/auth packages (Stripe, Supabase) isolated into their own PRs so those diffs are reviewed rather than skimmed.</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bl>
    <w:p>
      <w:pPr>
        <w:pStyle w:val="Heading2"/>
        <w:spacing w:after="140" w:before="280"/>
      </w:pPr>
      <w:r>
        <w:rPr>
          <w:rFonts w:ascii="Calibri" w:cs="Calibri" w:eastAsia="Calibri" w:hAnsi="Calibri"/>
          <w:b/>
          <w:bCs/>
          <w:color w:val="1F3864"/>
          <w:sz w:val="26"/>
          <w:szCs w:val="26"/>
        </w:rPr>
        <w:t xml:space="preserve">9.C  Reliability and testing</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Add an end-to-end harness — DONE at both layers</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HTTP: tests/e2e/smoke.test.ts asserts the CSP and nonce, clickjacking and sniffing headers, the health contract's two shapes, anonymous rejection on the money routes, CSRF refusal of a cross-origin state change, the 410 tombstones, and 404 on unknown API paths across every method. Browser: tests/browser/ drives Chromium at desktop and mobile viewports over accessible naming, keyboard operability, the age gate and every public page rendering without console errors. 13 and 38 respectively, all passing against production. Both skip rather than fail without E2E_BASE_URL, so neither can become a green test that checks nothing, and both now run automatically after every production deploy (9.E). Each found a real defect on its first run — a soft 404 on the API, and every auth input being unlabelled (Section 12). What remains is BE-10 in 9.A: purchase through settlement to payout against real processors, which needs Stripe test-mode credentials and is deliberately not faked here.</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Extend route-level test coverage beyond the guard layer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tests/routes.test.ts walks all 53 route handlers and asserts the contract each must satisfy: every state-changing route refuses a cross-origin request, establishes who is calling and is throttled; everything under /api/admin requires an admin; everything under /api/cron fails closed on a shared secret; every money boundary re-checks compliance server-side. Static rather than executed, deliberately — it cannot prove a guard runs on every code path, but it needs no Supabase, no network and no fixtures, so it runs in milliseconds on every commit and can never be skipped because the environment is missing. The exemption lists are the design: seven routes legitimately skip CSRF and eight skip identity or throttling — the Stripe webhook, the auth routes that create identity, the 410 tombstones, the 404 catch-all — each with a stated reason, and three meta-tests fail the build if an exemption names a deleted route, names a route that now carries the guard anyway, or gives no real reason. A list of blanket permissions nobody revisits is how a control quietly stops applying. Verified by regression rather than assumed: removing assertSameOrigin from a payout route fails, removing requireAdmin fails, and adding a guard to an exempt route fails as a stale exemption. The survey found no genuine gaps — the two unthrottled state-changing routes are both requireAdmin plus CSRF. Unit suite 34 to 50 tests.</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bl>
    <w:p>
      <w:pPr>
        <w:pStyle w:val="Heading2"/>
        <w:spacing w:after="140" w:before="280"/>
      </w:pPr>
      <w:r>
        <w:rPr>
          <w:rFonts w:ascii="Calibri" w:cs="Calibri" w:eastAsia="Calibri" w:hAnsi="Calibri"/>
          <w:b/>
          <w:bCs/>
          <w:color w:val="1F3864"/>
          <w:sz w:val="26"/>
          <w:szCs w:val="26"/>
        </w:rPr>
        <w:t xml:space="preserve">9.D  Frontend and user experience</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Run a manual screen-reader pass — STILL RECOMMENDED, but the floor is much higher</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13 August browser suite added the assertions a linter structurally cannot make: that every input on signup and login exposes an accessible name in the rendered accessibility tree, that the form is completable by keyboard alone including the terms checkbox, and that focus is visibly indicated. Writing it immediately found that EVERY auth input was unlabelled — the label carried no htmlFor and sat as a sibling of its input, so it looked correct and announced as nothing, on the password and the date of birth that gates the product on age. jsx-a11y could not see it. That is now fixed and pinned. A human session with VoiceOver or NVDA is still worth doing before launch — automation cannot judge whether the announced order makes sense — but it is no longer the only thing standing between the product and an unusable form.</w:t>
            </w:r>
          </w:p>
        </w:tc>
        <w:tc>
          <w:tcPr>
            <w:tcW w:type="dxa" w:w="158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Verify the httpOnly session change against live Supabase realtime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Chat now authenticates through a separate short-lived token path. The mechanism is sound but has not been exercised against the live realtime service.</w:t>
            </w:r>
          </w:p>
        </w:tc>
        <w:tc>
          <w:tcPr>
            <w:tcW w:type="dxa" w:w="158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Recover static generation for public pages (optional)</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force-dynamic is global for the CSP nonce — an accepted trade this cycle. If marketing SEO becomes a priority, serve public pages a nonce-free CSP and scope force-dynamic to authenticated routes.</w:t>
            </w:r>
          </w:p>
        </w:tc>
        <w:tc>
          <w:tcPr>
            <w:tcW w:type="dxa" w:w="1580"/>
            <w:shd w:fill="E2E8DE" w:color="auto" w:val="clear"/>
            <w:tcMar>
              <w:top w:type="dxa" w:w="80"/>
              <w:left w:type="dxa" w:w="120"/>
              <w:bottom w:type="dxa" w:w="80"/>
              <w:right w:type="dxa" w:w="120"/>
            </w:tcMar>
          </w:tcPr>
          <w:p>
            <w:pPr>
              <w:spacing w:after="0" w:line="260"/>
              <w:jc w:val="center"/>
            </w:pPr>
            <w:r>
              <w:rPr>
                <w:rFonts w:ascii="Calibri" w:cs="Calibri" w:eastAsia="Calibri" w:hAnsi="Calibri"/>
                <w:b/>
                <w:bCs/>
                <w:color w:val="3F5142"/>
                <w:sz w:val="19"/>
                <w:szCs w:val="19"/>
              </w:rPr>
              <w:t xml:space="preserve">Low</w:t>
            </w:r>
          </w:p>
        </w:tc>
      </w:tr>
    </w:tbl>
    <w:p>
      <w:pPr>
        <w:pStyle w:val="Heading2"/>
        <w:spacing w:after="140" w:before="280"/>
      </w:pPr>
      <w:r>
        <w:rPr>
          <w:rFonts w:ascii="Calibri" w:cs="Calibri" w:eastAsia="Calibri" w:hAnsi="Calibri"/>
          <w:b/>
          <w:bCs/>
          <w:color w:val="1F3864"/>
          <w:sz w:val="26"/>
          <w:szCs w:val="26"/>
        </w:rPr>
        <w:t xml:space="preserve">9.E  Operational readiness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Uptime and health-check monitoring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/api/health answers with a status code any monitor can watch without credentials, and never reveals which component failed unless the caller holds CRON_SECRET — a public health endpoint is a reconnaissance surface during an outage. Degraded-but-serving conditions (notably the in-memory rate-limit fallback) report 200/degraded rather than 503, so the pager stays credible. Point an external monitor at it. (OPS-3, 9.E)</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Guard the deployment pipeline itself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New this cycle, and the reason everything above sat undeployed for a day. scripts/check-vercel-crons.ts blocks any sub-daily cron schedule in vercel.json and any unknown top-level key, both of which make Vercel refuse a deployment outright on the Hobby plan. scripts/check-migrations.ts blocks duplicate migration version prefixes. scripts/check-docs.ts blocks XML-illegal characters in the document generators. All three run in CI. See Section 12.</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Verify every production deploy against the running site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New this cycle. .github/workflows/post-deploy.yml fires on a successful production deployment_status and runs both black-box suites against the live alias. This is the gate that would have caught the project's worst failure: five commits merged green and never deployed, which no pre-merge check can see because at merge time there is nothing deployed to look at. Scoped to production rather than every preview because the Actions budget is finite — settle-pools and alert already spend roughly 1,805 of the 2,000 free minutes, and exhausting the remainder would silently stop settlement, which is far worse than an unverified preview. Previews can be checked on demand via the manual trigger. Runs in 2.0 minutes.</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Define support and dispute-resolution process — DOCUMENTED</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as docs/RUNBOOK.md §6. Names the evidence in order of authority (pool_winners, then the user_transactions ledger, then pool_games/parlay_cards/card_picks to reconstruct scoring, then admin_audit_log and compliance_events) and the rules of engagement: never adjust a balance with raw SQL because it bypasses the ledger that resolves the next dispute; a settlement is only wrong if an input was wrong, so fix the input and re-run rather than hand-editing an outcome. Table names verified against the live database. What remains is purely organisational — WHO investigates and who may authorise a correction.</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Document the admin bootstrap and offboarding procedure — DOCUMENTED</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as docs/RUNBOOK.md §5. Bootstrap is five steps ending in TOTP enrolment; offboarding is four, ordered so that demotion (which removes authority) comes first, then session revocation to close the window where a demoted admin still holds a role claim in an unexpired JWT, then TOTP factor removal, then an admin_audit_log review and secret rotation.</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Set a staging environment mirroring production</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Money-path changes should be exercised somewhere real before they reach users.</w:t>
            </w:r>
          </w:p>
        </w:tc>
        <w:tc>
          <w:tcPr>
            <w:tcW w:type="dxa" w:w="158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bl>
    <w:p>
      <w:pPr>
        <w:pStyle w:val="Heading2"/>
        <w:spacing w:after="140" w:before="280"/>
      </w:pPr>
      <w:r>
        <w:rPr>
          <w:rFonts w:ascii="Calibri" w:cs="Calibri" w:eastAsia="Calibri" w:hAnsi="Calibri"/>
          <w:b/>
          <w:bCs/>
          <w:color w:val="1F3864"/>
          <w:sz w:val="26"/>
          <w:szCs w:val="26"/>
        </w:rPr>
        <w:t xml:space="preserve">9.F  Legal and regulatory</w:t>
      </w:r>
    </w:p>
    <w:p>
      <w:pPr>
        <w:spacing w:after="120" w:line="276"/>
      </w:pPr>
      <w:r>
        <w:rPr>
          <w:rFonts w:ascii="Calibri" w:cs="Calibri" w:eastAsia="Calibri" w:hAnsi="Calibri"/>
          <w:i/>
          <w:iCs/>
          <w:color w:val="1A1A1A"/>
          <w:sz w:val="21"/>
          <w:szCs w:val="21"/>
        </w:rPr>
        <w:t xml:space="preserve">This section has changed character. At the first audit every item here was a question with no machinery behind it. The 2026-08-12 cycle built the enforcement layer for all of it: age verification, jurisdiction restriction, self-exclusion, deposit limits, KYC thresholds, tax-reporting aggregation, subject access and erasure, and contest rules published as binding terms. Each is enforced server-side at the money boundary and fails closed.</w:t>
      </w:r>
    </w:p>
    <w:p>
      <w:pPr>
        <w:spacing w:after="120" w:line="276"/>
      </w:pPr>
      <w:r>
        <w:rPr>
          <w:rFonts w:ascii="Calibri" w:cs="Calibri" w:eastAsia="Calibri" w:hAnsi="Calibri"/>
          <w:i/>
          <w:iCs/>
          <w:color w:val="1A1A1A"/>
          <w:sz w:val="21"/>
          <w:szCs w:val="21"/>
        </w:rPr>
        <w:t xml:space="preserve">What code cannot supply is the CONTENT of the rules. The jurisdiction table decides where the product may operate, and it ships with a conservative starter set modelled on the exclusion lists paid fantasy operators commonly use — explicitly marked, in the database itself, as requiring confirmation. That is a placeholder, not an opinion. The deliberate consequence of putting the rules in data rather than in code is that counsel's answer lands as a row update, not a release: the day you have a legal opinion, applying it is a database change and nothing has to be rebuilt or redeployed.</w:t>
      </w:r>
    </w:p>
    <w:p>
      <w:pPr>
        <w:spacing w:after="120" w:line="276"/>
      </w:pPr>
      <w:r>
        <w:rPr>
          <w:rFonts w:ascii="Calibri" w:cs="Calibri" w:eastAsia="Calibri" w:hAnsi="Calibri"/>
          <w:i/>
          <w:iCs/>
          <w:color w:val="1A1A1A"/>
          <w:sz w:val="21"/>
          <w:szCs w:val="21"/>
        </w:rPr>
        <w:t xml:space="preserve">So the items below are no longer "build this". They are "obtain the answer, then set the rows" — plus the two that were never technical at all.</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Obtain a legal opinion on operating jurisdictions, then set jurisdiction_rules</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STILL OUTSTANDING and the gating item for everything else here. Paid-entry contests with cash prizes on sporting outcomes are regulated differently in each US state and most other countries; some require licensing, some prohibit the model outright. The enforcement is built and tested — what it enforces is a placeholder until counsel rules. Applying their answer is an UPDATE on jurisdiction_rules, no deploy.</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Confirm Stripe and PayPal permit this use case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STILL OUTSTANDING, and not a technical task — it is a conversation with each processor. Both restrict gambling and contest-related businesses and require prior approval. Operating outside the agreed category risks abrupt account termination with player funds held. Worth starting today; it needs no code.</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Age verification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Date of birth collected and validated at signup against a global floor of 18, stored where no client can write it, and re-checked at every paid action against the minimum age for the player's actual jurisdiction (21 where a rule says so). Pinned by unit tests including the adversarial cases: missing, malformed and future dates all fail closed.</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Geolocation restriction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Two layers. Edge middleware keeps blocked territories out of the paid surface; the money boundary independently re-resolves the jurisdiction server-side, so defeating the first buys nothing. Geo headers are read only behind a trusted edge — off it they are attacker-controlled and are ignored entirely, which is tested.</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Responsible-gambling controls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Self-exclusion, deposit limits and a settings screen. The rules are enforced in SECURITY DEFINER RPCs, not grants: an exclusion can only ever be extended, and a limit decrease applies at once while an increase waits out a cooling-off period. Verified against the live database — an explicit attempt to shorten a 365-day exclusion left it unchanged.</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KYC/AML thresholds — BUILT (obligations still to be determined)</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Cumulative withdrawals over a rolling year are measured against an operator-set threshold, and a payout above it is refused until identity is verified. The threshold defaults to 600.00 and is a settings row. What the THRESHOLD SHOULD BE, and what monitoring obligations attach, remains a question for counsel.</w:t>
            </w:r>
          </w:p>
        </w:tc>
        <w:tc>
          <w:tcPr>
            <w:tcW w:type="dxa" w:w="1580"/>
            <w:shd w:fill="E2E8DE" w:color="auto" w:val="clear"/>
            <w:tcMar>
              <w:top w:type="dxa" w:w="80"/>
              <w:left w:type="dxa" w:w="120"/>
              <w:bottom w:type="dxa" w:w="80"/>
              <w:right w:type="dxa" w:w="120"/>
            </w:tcMar>
          </w:tcPr>
          <w:p>
            <w:pPr>
              <w:spacing w:after="0" w:line="260"/>
              <w:jc w:val="center"/>
            </w:pPr>
            <w:r>
              <w:rPr>
                <w:rFonts w:ascii="Calibri" w:cs="Calibri" w:eastAsia="Calibri" w:hAnsi="Calibri"/>
                <w:b/>
                <w:bCs/>
                <w:color w:val="3F5142"/>
                <w:sz w:val="19"/>
                <w:szCs w:val="19"/>
              </w:rPr>
              <w:t xml:space="preserve">Partly 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Tax reporting data capture — BUILT (obligations still to be determined)</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Gross winnings per user per calendar year are aggregated from the ledger by a view, so the figure cannot drift from the transactions behind it. Tax identity is captured as status and last four digits only — holding the full TIN would create breach liability out of proportion to its use here. What must be FILED remains a question for counsel.</w:t>
            </w:r>
          </w:p>
        </w:tc>
        <w:tc>
          <w:tcPr>
            <w:tcW w:type="dxa" w:w="1580"/>
            <w:shd w:fill="E2E8DE" w:color="auto" w:val="clear"/>
            <w:tcMar>
              <w:top w:type="dxa" w:w="80"/>
              <w:left w:type="dxa" w:w="120"/>
              <w:bottom w:type="dxa" w:w="80"/>
              <w:right w:type="dxa" w:w="120"/>
            </w:tcMar>
          </w:tcPr>
          <w:p>
            <w:pPr>
              <w:spacing w:after="0" w:line="260"/>
              <w:jc w:val="center"/>
            </w:pPr>
            <w:r>
              <w:rPr>
                <w:rFonts w:ascii="Calibri" w:cs="Calibri" w:eastAsia="Calibri" w:hAnsi="Calibri"/>
                <w:b/>
                <w:bCs/>
                <w:color w:val="3F5142"/>
                <w:sz w:val="19"/>
                <w:szCs w:val="19"/>
              </w:rPr>
              <w:t xml:space="preserve">Partly 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Data-protection paths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Subject access export returns everything held about the caller; erasure anonymises rather than deletes, retaining the ledger as financial regulation requires. It refuses while a balance or a payout is outstanding, and during an active self-exclusion — otherwise deleting an account would become the way to undo the protection.</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Contest rules published as binding terms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Scoring, tie-breaks, the cent-exact split, the platform fee lock, refunds, postponed and abandoned fixtures, eligibility and disputes, written against the settlement engine so the document and the code agree. Accepted explicitly at signup and versioned, so a material change can require re-acceptance.</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Have counsel review the Terms, Privacy and Contest Rules</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STILL OUTSTANDING. The Contest Rules now describe the implementation accurately, which makes a legal review far cheaper than it would have been — but accurate is not the same as compliant, and only counsel can say which.</w:t>
            </w:r>
          </w:p>
        </w:tc>
        <w:tc>
          <w:tcPr>
            <w:tcW w:type="dxa" w:w="158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10.  Appendix A — API route inventory</w:t>
      </w:r>
    </w:p>
    <w:p>
      <w:pPr>
        <w:spacing w:after="120" w:line="276"/>
      </w:pPr>
      <w:r>
        <w:rPr>
          <w:rFonts w:ascii="Calibri" w:cs="Calibri" w:eastAsia="Calibri" w:hAnsi="Calibri"/>
          <w:color w:val="1A1A1A"/>
          <w:sz w:val="21"/>
          <w:szCs w:val="21"/>
        </w:rPr>
        <w:t xml:space="preserve">All 46 routes, with the guards each enforces — re-verified after the remediation cycle. ✓ present, — absent, n/a not applicable. Zod covers request bodies and uuid path parameters; routes marked n/a take no input (secret-gated crons, the signature-authenticated webhook, signout).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900"/>
        <w:gridCol w:w="1180"/>
        <w:gridCol w:w="700"/>
        <w:gridCol w:w="700"/>
        <w:gridCol w:w="700"/>
        <w:gridCol w:w="3180"/>
      </w:tblGrid>
      <w:tr>
        <w:trPr>
          <w:tblHeader/>
        </w:trPr>
        <w:tc>
          <w:tcPr>
            <w:tcW w:type="dxa" w:w="29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Route</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Methods</w:t>
            </w:r>
          </w:p>
        </w:tc>
        <w:tc>
          <w:tcPr>
            <w:tcW w:type="dxa" w:w="7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CSRF</w:t>
            </w:r>
          </w:p>
        </w:tc>
        <w:tc>
          <w:tcPr>
            <w:tcW w:type="dxa" w:w="7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Limit</w:t>
            </w:r>
          </w:p>
        </w:tc>
        <w:tc>
          <w:tcPr>
            <w:tcW w:type="dxa" w:w="7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Zod</w:t>
            </w:r>
          </w:p>
        </w:tc>
        <w:tc>
          <w:tcPr>
            <w:tcW w:type="dxa" w:w="3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Authorization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admin/payout-requests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admin/payout-requests/[id]/complete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PATCH</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 + idempotent</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admin/pools/[poolId]/settings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admin/sync/teams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admin/users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admin/users/[userId]/role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PATCH</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auth/me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auth/realtime-token</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getUser(); access token only</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auth/signin</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auth/signout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auth/signup</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no enumeration + HIBP check</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client-errors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by design; tight limit, capped fields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cron/reconcile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CRON_SECRET, fails closed; read-only</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cron/settle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CRON_SECRET, fails closed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games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read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games/[gameId]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read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games/[gameId]/outcome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invitations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invitations/[id]/accept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invitations/[id]/decline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me/balance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me/claim-payout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RPC uses auth.uid()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me/games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me/payout-account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PUT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me/payout-request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balance-checked in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me/winnings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newsletter/subscribe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no enumeration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nfl/scoreboard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Mock feed for local dev</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notifications/[id]/read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Admin-only create</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PATCH, DELETE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pools/[poolId]/cards/[cardId]/lock</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pools/[poolId]/cards/[cardId]/picks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kickoff lock in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pools/[poolId]/cards/[cardId]/submit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RETIRED — 410</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pools/[poolId]/cards/purchase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RETIRED — 410</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pools/[poolId]/chat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card holders only</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pools/[poolId]/games/sync</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pools/[poolId]/invitations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owner only</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pools/complete-finished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CRON_SECRET</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seed-admin</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SETUP_SECRET, fails closed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stripe/confirm-payment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amount from Stripe</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stripe/create-checkout-session</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price server-set</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stripe/webhook</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Signature verified pre-parse</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sync/nfl-games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CRON_SECRET</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winners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RPC, public pools only</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11.  Appendix B — what this audit cycle fixed</w:t>
      </w:r>
    </w:p>
    <w:p>
      <w:pPr>
        <w:spacing w:after="120" w:line="276"/>
      </w:pPr>
      <w:r>
        <w:rPr>
          <w:rFonts w:ascii="Calibri" w:cs="Calibri" w:eastAsia="Calibri" w:hAnsi="Calibri"/>
          <w:color w:val="1A1A1A"/>
          <w:sz w:val="21"/>
          <w:szCs w:val="21"/>
        </w:rPr>
        <w:t xml:space="preserve">Cycle 1: six commits merged to main as PR #1, all verified against the live database and a green production deploy.</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1500"/>
        <w:gridCol w:w="4400"/>
        <w:gridCol w:w="3460"/>
      </w:tblGrid>
      <w:tr>
        <w:trPr>
          <w:tblHeader/>
        </w:trPr>
        <w:tc>
          <w:tcPr>
            <w:tcW w:type="dxa" w:w="15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Commit</w:t>
            </w:r>
          </w:p>
        </w:tc>
        <w:tc>
          <w:tcPr>
            <w:tcW w:type="dxa" w:w="44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Change</w:t>
            </w:r>
          </w:p>
        </w:tc>
        <w:tc>
          <w:tcPr>
            <w:tcW w:type="dxa" w:w="34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mattered</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8dd4a4b</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Migration pipeline repaired; payout race closed; CSRF origin checks added across the state-changing routes; signup enumeration oracle closed</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A rebuilt database never reached the intended secure state, and the admin payout route could double-pay under concurrency</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697472d</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Session cookie made httpOnly; realtime moved to a dedicated short-lived token endpoint; dependency advisories cleared</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The cookie carried the refresh token and was readable by JavaScript, so any XSS meant permanent account takeover surviving sign-out and password change</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7f9eb66</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Stale Vercel build cache disabled across the Next 16.3.0 upgrade</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First isolation step for the failing production deploys</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f4aca18</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Production build switched to webpack</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Next 16.3.0's Turbopack build omits the file-trace manifest Vercel's packaging step requires; two deploys had already failed on it</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ee4a382</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Column-level grants on users.balance and users.role; rate limits added to claim-payout, pool creation and game sync</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RLS cannot restrict which columns an UPDATE touches — only grants can. A single WITH CHECK predicate was all that stood between an account and its own balance</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d9b2dea</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Legacy settlement-guard trigger name dropped before the guard is recreated</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The live database carried the guard under an out-of-band name, so the migration would have attached a second trigger and fired the guard twice per pool update</w:t>
            </w:r>
          </w:p>
        </w:tc>
      </w:tr>
    </w:tbl>
    <w:p>
      <w:pPr>
        <w:spacing w:after="200"/>
      </w:pPr>
    </w:p>
    <w:p>
      <w:pPr>
        <w:pStyle w:val="Heading3"/>
        <w:spacing w:after="100" w:before="200"/>
      </w:pPr>
      <w:r>
        <w:rPr>
          <w:rFonts w:ascii="Calibri" w:cs="Calibri" w:eastAsia="Calibri" w:hAnsi="Calibri"/>
          <w:b/>
          <w:bCs/>
          <w:color w:val="44546A"/>
          <w:sz w:val="22"/>
          <w:szCs w:val="22"/>
        </w:rPr>
        <w:t xml:space="preserve">Cycle 2 — 2026-08-12 remediation</w:t>
      </w:r>
    </w:p>
    <w:p>
      <w:pPr>
        <w:spacing w:after="120" w:line="276"/>
      </w:pPr>
      <w:r>
        <w:rPr>
          <w:rFonts w:ascii="Calibri" w:cs="Calibri" w:eastAsia="Calibri" w:hAnsi="Calibri"/>
          <w:color w:val="1A1A1A"/>
          <w:sz w:val="21"/>
          <w:szCs w:val="21"/>
        </w:rPr>
        <w:t xml:space="preserve">One coordinated change set closing every remaining Medium and Low finding and four Highs, verified against the live database and the full CI gate.</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600"/>
        <w:gridCol w:w="6760"/>
      </w:tblGrid>
      <w:tr>
        <w:trPr>
          <w:tblHeader/>
        </w:trPr>
        <w:tc>
          <w:tcPr>
            <w:tcW w:type="dxa" w:w="26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Area</w:t>
            </w:r>
          </w:p>
        </w:tc>
        <w:tc>
          <w:tcPr>
            <w:tcW w:type="dxa" w:w="67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What landed</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Error capture</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app_errors table (service-role only), recordAppError()/logEvent() on the webhook and payout failure branches, /api/client-errors intake, both error boundaries reporting. FE-5, FE-7, OPS-2.</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Reconciliation</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/api/cron/reconcile: two-way Stripe↔ledger comparison, payout batch traceability, 90-day error retention, mismatches filed as errors. BE-11.</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Scheduling</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Settlement hourly, reconciliation daily; both secret-gated. OPS-4.</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Validation</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Shared zod schemas on every input-accepting route, including uuid path parameters. BE-7.</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Password safety</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App-level HIBP k-anonymity breach check at signup: fail-open, padding-aware, unit-tested. BE-3.</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Database</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SELECT policies consolidated to one per table on five tables; in-migration invariants; advisor verified clean. DB-3.</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Accessibility</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21 jsx-a11y rules at error severity in blocking CI; 23 keyboard/label defects fixed with native semantics. FE-8.</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Discoverability</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Metadata on all pages, sitemap.ts, robots.ts, loading boundaries everywhere. FE-6, FE-9.</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Testing</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tests/lib.test.ts: 18 unit tests pinning the guard layer (redirect clamp, CSRF, rate limiter, CSP, schemas, HIBP), blocking in CI. OPS-7.</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Operations</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docs/RUNBOOK.md: incident procedures for every money-affecting failure mode, backup/restore policy and rehearsal, pre-launch provisioning table. OPS-5, DB-5.</w:t>
            </w:r>
          </w:p>
        </w:tc>
      </w:tr>
    </w:tbl>
    <w:p>
      <w:pPr>
        <w:spacing w:after="240"/>
      </w:pPr>
    </w:p>
    <w:p>
      <w:pPr>
        <w:spacing w:after="120" w:line="276"/>
      </w:pPr>
      <w:r>
        <w:rPr>
          <w:rFonts w:ascii="Calibri" w:cs="Calibri" w:eastAsia="Calibri" w:hAnsi="Calibri"/>
          <w:i/>
          <w:iCs/>
          <w:color w:val="1A1A1A"/>
          <w:sz w:val="21"/>
          <w:szCs w:val="21"/>
        </w:rPr>
        <w:t xml:space="preserve">Read together, the cycles describe a system whose security model is sound and whose failure modes are instrumented and documented. What the 13 August verification added is the discovery that none of that had reached users, and that the most consequential remaining defects are configuration rather than code. Section 9.A is the launch gate; Section 12 records what verification found.</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12.  Verification cycle — 13 August 2026</w:t>
      </w:r>
    </w:p>
    <w:p>
      <w:pPr>
        <w:spacing w:after="120" w:line="276"/>
      </w:pPr>
      <w:r>
        <w:rPr>
          <w:rFonts w:ascii="Calibri" w:cs="Calibri" w:eastAsia="Calibri" w:hAnsi="Calibri"/>
          <w:i/>
          <w:iCs/>
          <w:color w:val="1A1A1A"/>
          <w:sz w:val="21"/>
          <w:szCs w:val="21"/>
        </w:rPr>
        <w:t xml:space="preserve">This section records an independent re-check of the 12 August audit against the repository, the live Supabase project, the live Vercel project and the running production deployment. It was not a re-audit of the code, which the previous cycle covered. It asked a narrower and more uncomfortable question: is what the audit claims to have delivered actually true, and actually running?</w:t>
      </w:r>
    </w:p>
    <w:p>
      <w:pPr>
        <w:spacing w:after="120" w:line="276"/>
      </w:pPr>
      <w:r>
        <w:rPr>
          <w:rFonts w:ascii="Calibri" w:cs="Calibri" w:eastAsia="Calibri" w:hAnsi="Calibri"/>
          <w:color w:val="1A1A1A"/>
          <w:sz w:val="21"/>
          <w:szCs w:val="21"/>
        </w:rPr>
        <w:t xml:space="preserve">Three of the audit's conclusions did not survive contact with production. Two were wrong; one was catastrophic and had nothing to do with application code.</w:t>
      </w:r>
    </w:p>
    <w:p>
      <w:pPr>
        <w:pStyle w:val="Heading2"/>
        <w:spacing w:after="140" w:before="280"/>
      </w:pPr>
      <w:r>
        <w:rPr>
          <w:rFonts w:ascii="Calibri" w:cs="Calibri" w:eastAsia="Calibri" w:hAnsi="Calibri"/>
          <w:b/>
          <w:bCs/>
          <w:color w:val="1F3864"/>
          <w:sz w:val="26"/>
          <w:szCs w:val="26"/>
        </w:rPr>
        <w:t xml:space="preserve">12.1  The remediation was never deployed</w:t>
      </w:r>
    </w:p>
    <w:p>
      <w:pPr>
        <w:spacing w:after="120" w:line="276"/>
      </w:pPr>
      <w:r>
        <w:rPr>
          <w:rFonts w:ascii="Calibri" w:cs="Calibri" w:eastAsia="Calibri" w:hAnsi="Calibri"/>
          <w:color w:val="1A1A1A"/>
          <w:sz w:val="21"/>
          <w:szCs w:val="21"/>
        </w:rPr>
        <w:t xml:space="preserve">The audit describes a compliance layer — age verification, jurisdiction restriction, self-exclusion, deposit limits, KYC thresholds, contest rules published as binding terms. All of it was written, reviewed, merged and green in CI. None of it was serving a single user.</w:t>
      </w:r>
    </w:p>
    <w:p>
      <w:pPr>
        <w:spacing w:after="120" w:line="276"/>
      </w:pPr>
      <w:r>
        <w:rPr>
          <w:rFonts w:ascii="Calibri" w:cs="Calibri" w:eastAsia="Calibri" w:hAnsi="Calibri"/>
          <w:color w:val="1A1A1A"/>
          <w:sz w:val="21"/>
          <w:szCs w:val="21"/>
        </w:rPr>
        <w:t xml:space="preserve">Vercel's deployment list ends at 5e9c344 on 12 August. The five commits after it produced no deployment record at all — not failed builds, no builds. Vercel had refused to create the deployment, which leaves no artefact to inspect in the dashboard and no failure for CI to report.</w:t>
      </w:r>
    </w:p>
    <w:p>
      <w:pPr>
        <w:spacing w:after="120" w:line="276"/>
      </w:pPr>
      <w:r>
        <w:rPr>
          <w:rFonts w:ascii="Calibri" w:cs="Calibri" w:eastAsia="Calibri" w:hAnsi="Calibri"/>
          <w:b/>
          <w:bCs/>
          <w:color w:val="1A1A1A"/>
          <w:sz w:val="21"/>
          <w:szCs w:val="21"/>
        </w:rPr>
        <w:t xml:space="preserve">Cause. </w:t>
      </w:r>
      <w:r>
        <w:rPr>
          <w:rFonts w:ascii="Calibri" w:cs="Calibri" w:eastAsia="Calibri" w:hAnsi="Calibri"/>
          <w:color w:val="1A1A1A"/>
          <w:sz w:val="21"/>
          <w:szCs w:val="21"/>
        </w:rPr>
        <w:t xml:space="preserve">This project is on the Vercel Hobby plan, where cron schedules are day-granularity. A sub-daily expression is not clamped, warned about or ignored — the deployment is refused. Commit 662c420 had known this and said so explicitly in its message, choosing </w:t>
      </w:r>
      <w:r>
        <w:rPr>
          <w:rFonts w:ascii="Consolas" w:cs="Consolas" w:eastAsia="Consolas" w:hAnsi="Consolas"/>
          <w:color w:val="1A1A1A"/>
          <w:sz w:val="21"/>
          <w:szCs w:val="21"/>
        </w:rPr>
        <w:t xml:space="preserve">0 8 * * *</w:t>
      </w:r>
      <w:r>
        <w:rPr>
          <w:rFonts w:ascii="Calibri" w:cs="Calibri" w:eastAsia="Calibri" w:hAnsi="Calibri"/>
          <w:color w:val="1A1A1A"/>
          <w:sz w:val="21"/>
          <w:szCs w:val="21"/>
        </w:rPr>
        <w:t xml:space="preserve"> deliberately and putting the frequent cadence in GitHub Actions. Commit 7e0bf34 then changed settlement to </w:t>
      </w:r>
      <w:r>
        <w:rPr>
          <w:rFonts w:ascii="Consolas" w:cs="Consolas" w:eastAsia="Consolas" w:hAnsi="Consolas"/>
          <w:color w:val="1A1A1A"/>
          <w:sz w:val="21"/>
          <w:szCs w:val="21"/>
        </w:rPr>
        <w:t xml:space="preserve">0 * * * *</w:t>
      </w:r>
      <w:r>
        <w:rPr>
          <w:rFonts w:ascii="Calibri" w:cs="Calibri" w:eastAsia="Calibri" w:hAnsi="Calibri"/>
          <w:color w:val="1A1A1A"/>
          <w:sz w:val="21"/>
          <w:szCs w:val="21"/>
        </w:rPr>
        <w:t xml:space="preserve">, and deployments stopped from that commit onward.</w:t>
      </w:r>
    </w:p>
    <w:p>
      <w:pPr>
        <w:spacing w:after="120" w:line="276"/>
      </w:pPr>
      <w:r>
        <w:rPr>
          <w:rFonts w:ascii="Calibri" w:cs="Calibri" w:eastAsia="Calibri" w:hAnsi="Calibri"/>
          <w:color w:val="1A1A1A"/>
          <w:sz w:val="21"/>
          <w:szCs w:val="21"/>
        </w:rPr>
        <w:t xml:space="preserve">The failure mode is the dangerous part, not the mistake. Every signal a team normally trusts stayed green: CI passed, the branch merged, the dashboard showed a healthy production deployment — of eight-day-old code. Nothing anywhere reported that the last five merges had not shipped.</w:t>
      </w:r>
    </w:p>
    <w:p>
      <w:pPr>
        <w:pStyle w:val="ListParagraph"/>
        <w:numPr>
          <w:ilvl w:val="0"/>
          <w:numId w:val="2"/>
        </w:numPr>
        <w:spacing w:after="80" w:line="276"/>
      </w:pPr>
      <w:r>
        <w:rPr>
          <w:rFonts w:ascii="Calibri" w:cs="Calibri" w:eastAsia="Calibri" w:hAnsi="Calibri"/>
          <w:sz w:val="21"/>
          <w:szCs w:val="21"/>
        </w:rPr>
        <w:t xml:space="preserve">Fixed: vercel.json restored to day-granularity, the shape that deployed successfully for months. The 30-minute settlement cadence continues to come from .github/workflows/settle-pools.yml, as originally designed.</w:t>
      </w:r>
    </w:p>
    <w:p>
      <w:pPr>
        <w:pStyle w:val="ListParagraph"/>
        <w:numPr>
          <w:ilvl w:val="0"/>
          <w:numId w:val="2"/>
        </w:numPr>
        <w:spacing w:after="80" w:line="276"/>
      </w:pPr>
      <w:r>
        <w:rPr>
          <w:rFonts w:ascii="Calibri" w:cs="Calibri" w:eastAsia="Calibri" w:hAnsi="Calibri"/>
          <w:sz w:val="21"/>
          <w:szCs w:val="21"/>
        </w:rPr>
        <w:t xml:space="preserve">Guarded: scripts/check-vercel-crons.ts fails CI on any sub-daily schedule, and on any unknown top-level key — a "//" comment key in vercel.json is itself a deployment-refusing mistake, so the explanation lives in the script rather than the config. Verified in both directions against the exact configuration from 7e0bf34.</w:t>
      </w:r>
    </w:p>
    <w:p>
      <w:pPr>
        <w:pStyle w:val="ListParagraph"/>
        <w:numPr>
          <w:ilvl w:val="0"/>
          <w:numId w:val="2"/>
        </w:numPr>
        <w:spacing w:after="80" w:line="276"/>
      </w:pPr>
      <w:r>
        <w:rPr>
          <w:rFonts w:ascii="Calibri" w:cs="Calibri" w:eastAsia="Calibri" w:hAnsi="Calibri"/>
          <w:sz w:val="21"/>
          <w:szCs w:val="21"/>
        </w:rPr>
        <w:t xml:space="preserve">Result: production deployed and verified live at 268b3d6. /contest-rules, /responsible-gaming and /unavailable returned 200 for the first time.</w:t>
      </w:r>
    </w:p>
    <w:p>
      <w:pPr>
        <w:pStyle w:val="Heading2"/>
        <w:spacing w:after="140" w:before="280"/>
      </w:pPr>
      <w:r>
        <w:rPr>
          <w:rFonts w:ascii="Calibri" w:cs="Calibri" w:eastAsia="Calibri" w:hAnsi="Calibri"/>
          <w:b/>
          <w:bCs/>
          <w:color w:val="1F3864"/>
          <w:sz w:val="26"/>
          <w:szCs w:val="26"/>
        </w:rPr>
        <w:t xml:space="preserve">12.2  SUPABASE_SERVICE_ROLE_KEY is unset in production</w:t>
      </w:r>
    </w:p>
    <w:p>
      <w:pPr>
        <w:spacing w:after="120" w:line="276"/>
      </w:pPr>
      <w:r>
        <w:rPr>
          <w:rFonts w:ascii="Calibri" w:cs="Calibri" w:eastAsia="Calibri" w:hAnsi="Calibri"/>
          <w:color w:val="1A1A1A"/>
          <w:sz w:val="21"/>
          <w:szCs w:val="21"/>
        </w:rPr>
        <w:t xml:space="preserve">The health probe built during this cycle reported config and database down within a minute of going live, while the site itself served normally. Vercel's runtime error history corroborates it independently and dates it: "[cron/settle] fatal: Missing SUPABASE_SERVICE_ROLE_KEY or NEXT_PUBLIC_SUPABASE_URL", first seen 5 August, recurring through 12 August.</w:t>
      </w:r>
    </w:p>
    <w:p>
      <w:pPr>
        <w:spacing w:after="120" w:line="276"/>
      </w:pPr>
      <w:r>
        <w:rPr>
          <w:rFonts w:ascii="Calibri" w:cs="Calibri" w:eastAsia="Calibri" w:hAnsi="Calibri"/>
          <w:color w:val="1A1A1A"/>
          <w:sz w:val="21"/>
          <w:szCs w:val="21"/>
        </w:rPr>
        <w:t xml:space="preserve">Every service-role path in production is therefore dead. Pool settlement cannot complete, and the Stripe webhook cannot fulfil a purchase — a user can be charged and receive nothing, which is precisely the failure the fulfilment code was written to prevent. The public site is unaffected, because it reads through the anon client. That asymmetry is why this survived eight days unnoticed and why it was invisible to every check that existed before this cycle.</w:t>
      </w:r>
    </w:p>
    <w:p>
      <w:pPr>
        <w:spacing w:after="120" w:line="276"/>
      </w:pPr>
      <w:r>
        <w:rPr>
          <w:rFonts w:ascii="Calibri" w:cs="Calibri" w:eastAsia="Calibri" w:hAnsi="Calibri"/>
          <w:color w:val="1A1A1A"/>
          <w:sz w:val="21"/>
          <w:szCs w:val="21"/>
        </w:rPr>
        <w:t xml:space="preserve">This is the single blocking item. It is a credential and must be set by an operator; it cannot be fixed in code.</w:t>
      </w:r>
    </w:p>
    <w:p>
      <w:pPr>
        <w:pStyle w:val="Heading2"/>
        <w:spacing w:after="140" w:before="280"/>
      </w:pPr>
      <w:r>
        <w:rPr>
          <w:rFonts w:ascii="Calibri" w:cs="Calibri" w:eastAsia="Calibri" w:hAnsi="Calibri"/>
          <w:b/>
          <w:bCs/>
          <w:color w:val="1F3864"/>
          <w:sz w:val="26"/>
          <w:szCs w:val="26"/>
        </w:rPr>
        <w:t xml:space="preserve">12.3  Two audit claims corrected</w:t>
      </w:r>
    </w:p>
    <w:p>
      <w:pPr>
        <w:spacing w:after="120" w:line="276"/>
      </w:pPr>
      <w:r>
        <w:rPr>
          <w:rFonts w:ascii="Calibri" w:cs="Calibri" w:eastAsia="Calibri" w:hAnsi="Calibri"/>
          <w:color w:val="1A1A1A"/>
          <w:sz w:val="21"/>
          <w:szCs w:val="21"/>
        </w:rPr>
        <w:t xml:space="preserve">The audit reported that the duplicate migration-version collisions had caused migrations to be skipped in production. Direct inspection of the live database contradicts this: get_public_winners, claim_pool_payout and set_pool_transaction_fee all exist, and the legacy picks table is gone. Those changes had been applied by hand under different names, which is also why the remote ledger's version numbers do not correspond to the repository's filename prefixes at all.</w:t>
      </w:r>
    </w:p>
    <w:p>
      <w:pPr>
        <w:spacing w:after="120" w:line="276"/>
      </w:pPr>
      <w:r>
        <w:rPr>
          <w:rFonts w:ascii="Calibri" w:cs="Calibri" w:eastAsia="Calibri" w:hAnsi="Calibri"/>
          <w:color w:val="1A1A1A"/>
          <w:sz w:val="21"/>
          <w:szCs w:val="21"/>
        </w:rPr>
        <w:t xml:space="preserve">The collision is still a real defect — but its cost is a fresh provision, not the running system. A new environment built with supabase db push would silently skip three migrations and report success, then fail on the first grant it was missing. handover_hardening makes that concrete: it revokes on set_pool_transaction_fee(), created by the skipped final_audit_fixes, so a clean provision would error outright. Renumbered, and guarded in CI by scripts/check-migrations.ts.</w:t>
      </w:r>
    </w:p>
    <w:p>
      <w:pPr>
        <w:spacing w:after="120" w:line="276"/>
      </w:pPr>
      <w:r>
        <w:rPr>
          <w:rFonts w:ascii="Calibri" w:cs="Calibri" w:eastAsia="Calibri" w:hAnsi="Calibri"/>
          <w:color w:val="1A1A1A"/>
          <w:sz w:val="21"/>
          <w:szCs w:val="21"/>
        </w:rPr>
        <w:t xml:space="preserve">Separately, Section 9.B listed "add an admin action audit log" as outstanding. It was already implemented and wired into all four privileged routes. That entry was stale and is now corrected.</w:t>
      </w:r>
    </w:p>
    <w:p>
      <w:pPr>
        <w:pStyle w:val="Heading2"/>
        <w:spacing w:after="140" w:before="280"/>
      </w:pPr>
      <w:r>
        <w:rPr>
          <w:rFonts w:ascii="Calibri" w:cs="Calibri" w:eastAsia="Calibri" w:hAnsi="Calibri"/>
          <w:b/>
          <w:bCs/>
          <w:color w:val="1F3864"/>
          <w:sz w:val="26"/>
          <w:szCs w:val="26"/>
        </w:rPr>
        <w:t xml:space="preserve">12.4  Defect found by the new smoke suite</w:t>
      </w:r>
    </w:p>
    <w:p>
      <w:pPr>
        <w:spacing w:after="120" w:line="276"/>
      </w:pPr>
      <w:r>
        <w:rPr>
          <w:rFonts w:ascii="Calibri" w:cs="Calibri" w:eastAsia="Calibri" w:hAnsi="Calibri"/>
          <w:color w:val="1A1A1A"/>
          <w:sz w:val="21"/>
          <w:szCs w:val="21"/>
        </w:rPr>
        <w:t xml:space="preserve">On its first run against production the suite found that Next's App Router answered an unmatched route with the not-found page carrying </w:t>
      </w:r>
      <w:r>
        <w:rPr>
          <w:rFonts w:ascii="Calibri" w:cs="Calibri" w:eastAsia="Calibri" w:hAnsi="Calibri"/>
          <w:b/>
          <w:bCs/>
          <w:color w:val="1A1A1A"/>
          <w:sz w:val="21"/>
          <w:szCs w:val="21"/>
        </w:rPr>
        <w:t xml:space="preserve">HTTP 200</w:t>
      </w:r>
      <w:r>
        <w:rPr>
          <w:rFonts w:ascii="Calibri" w:cs="Calibri" w:eastAsia="Calibri" w:hAnsi="Calibri"/>
          <w:color w:val="1A1A1A"/>
          <w:sz w:val="21"/>
          <w:szCs w:val="21"/>
        </w:rPr>
        <w:t xml:space="preserve"> for every method except GET. A client POSTing to a mistyped or renamed endpoint received res.ok === true and an HTML body where it expected JSON. Nothing was exposed and no action ran, but on an API that moves money "that endpoint does not exist" must not look like success — the same reasoning that made the retired card endpoints explicit 410s rather than deletions. Closed by an API catch-all returning 404 on every method; the 410 tombstones were re-verified as still winning.</w:t>
      </w:r>
    </w:p>
    <w:p>
      <w:pPr>
        <w:pStyle w:val="Heading2"/>
        <w:spacing w:after="140" w:before="280"/>
      </w:pPr>
      <w:r>
        <w:rPr>
          <w:rFonts w:ascii="Calibri" w:cs="Calibri" w:eastAsia="Calibri" w:hAnsi="Calibri"/>
          <w:b/>
          <w:bCs/>
          <w:color w:val="1F3864"/>
          <w:sz w:val="26"/>
          <w:szCs w:val="26"/>
        </w:rPr>
        <w:t xml:space="preserve">12.5  Dependency upgrades</w:t>
      </w:r>
    </w:p>
    <w:p>
      <w:pPr>
        <w:spacing w:after="120" w:line="276"/>
      </w:pPr>
      <w:r>
        <w:rPr>
          <w:rFonts w:ascii="Calibri" w:cs="Calibri" w:eastAsia="Calibri" w:hAnsi="Calibri"/>
          <w:color w:val="1A1A1A"/>
          <w:sz w:val="21"/>
          <w:szCs w:val="21"/>
        </w:rPr>
        <w:t xml:space="preserve">The Dependabot configuration added this cycle immediately proposed five grouped upgrades, which were reviewed and merged with their breaking changes resolved rather than accepted blind. Merging them unmodified would have broken the build: Vercel's build of Dependabot's production-group branch failed outright.</w:t>
      </w:r>
    </w:p>
    <w:p>
      <w:pPr>
        <w:pStyle w:val="ListParagraph"/>
        <w:numPr>
          <w:ilvl w:val="0"/>
          <w:numId w:val="2"/>
        </w:numPr>
        <w:spacing w:after="80" w:line="276"/>
      </w:pPr>
      <w:r>
        <w:rPr>
          <w:rFonts w:ascii="Calibri" w:cs="Calibri" w:eastAsia="Calibri" w:hAnsi="Calibri"/>
          <w:sz w:val="21"/>
          <w:szCs w:val="21"/>
        </w:rPr>
        <w:t xml:space="preserve">zod 3 → 4: ZodError.errors renamed to .issues, and the errorMap option replaced by message, across the validation layer and seven money-path routes. The existing schema unit tests were the safety net and still pass.</w:t>
      </w:r>
    </w:p>
    <w:p>
      <w:pPr>
        <w:pStyle w:val="ListParagraph"/>
        <w:numPr>
          <w:ilvl w:val="0"/>
          <w:numId w:val="2"/>
        </w:numPr>
        <w:spacing w:after="80" w:line="276"/>
      </w:pPr>
      <w:r>
        <w:rPr>
          <w:rFonts w:ascii="Calibri" w:cs="Calibri" w:eastAsia="Calibri" w:hAnsi="Calibri"/>
          <w:sz w:val="21"/>
          <w:szCs w:val="21"/>
        </w:rPr>
        <w:t xml:space="preserve">stripe 20 → 22: the SDK types the pinned API version as a literal, so the stale pin failed typecheck rather than drifting silently. Moved to 2026-07-29.dahlia.</w:t>
      </w:r>
    </w:p>
    <w:p>
      <w:pPr>
        <w:pStyle w:val="ListParagraph"/>
        <w:numPr>
          <w:ilvl w:val="0"/>
          <w:numId w:val="2"/>
        </w:numPr>
        <w:spacing w:after="80" w:line="276"/>
      </w:pPr>
      <w:r>
        <w:rPr>
          <w:rFonts w:ascii="Calibri" w:cs="Calibri" w:eastAsia="Calibri" w:hAnsi="Calibri"/>
          <w:sz w:val="21"/>
          <w:szCs w:val="21"/>
        </w:rPr>
        <w:t xml:space="preserve">TypeScript 7 and ESLint 10 were REJECTED and held back: typescript-eslint does not support TS 7.0, and ESLint 10 breaks eslint-plugin-react inside eslint-config-next. Both would have disabled the lint gate entirely. Merged at TypeScript 6 and ESLint 9 instead, which pass.</w:t>
      </w:r>
    </w:p>
    <w:p>
      <w:pPr>
        <w:pStyle w:val="ListParagraph"/>
        <w:numPr>
          <w:ilvl w:val="0"/>
          <w:numId w:val="2"/>
        </w:numPr>
        <w:spacing w:after="80" w:line="276"/>
      </w:pPr>
      <w:r>
        <w:rPr>
          <w:rFonts w:ascii="Calibri" w:cs="Calibri" w:eastAsia="Calibri" w:hAnsi="Calibri"/>
          <w:sz w:val="21"/>
          <w:szCs w:val="21"/>
        </w:rPr>
        <w:t xml:space="preserve">react-hooks/set-state-in-effect became an error in the upgraded plugin, correctly flagging a cascading render in useIsMobile; rewritten on useSyncExternalStore, which is what matchMedia calls for.</w:t>
      </w:r>
    </w:p>
    <w:p>
      <w:pPr>
        <w:pStyle w:val="Heading2"/>
        <w:spacing w:after="140" w:before="280"/>
      </w:pPr>
      <w:r>
        <w:rPr>
          <w:rFonts w:ascii="Calibri" w:cs="Calibri" w:eastAsia="Calibri" w:hAnsi="Calibri"/>
          <w:b/>
          <w:bCs/>
          <w:color w:val="1F3864"/>
          <w:sz w:val="26"/>
          <w:szCs w:val="26"/>
        </w:rPr>
        <w:t xml:space="preserve">12.6  Every auth input was unlabelled</w:t>
      </w:r>
    </w:p>
    <w:p>
      <w:pPr>
        <w:spacing w:after="120" w:line="276"/>
      </w:pPr>
      <w:r>
        <w:rPr>
          <w:rFonts w:ascii="Calibri" w:cs="Calibri" w:eastAsia="Calibri" w:hAnsi="Calibri"/>
          <w:color w:val="1A1A1A"/>
          <w:sz w:val="21"/>
          <w:szCs w:val="21"/>
        </w:rPr>
        <w:t xml:space="preserve">Found while writing the browser suite, before a single test had run. src/components/auth/form-input.tsx rendered a bare &lt;label&gt; with no htmlFor, sitting as a SIBLING of its &lt;input&gt; rather than wrapping it. Visually correct; programmatically unrelated. To a screen reader every field on signup and login was an unlabelled edit box — name, email, password, and the date of birth that gates the entire product on age.</w:t>
      </w:r>
    </w:p>
    <w:p>
      <w:pPr>
        <w:spacing w:after="120" w:line="276"/>
      </w:pPr>
      <w:r>
        <w:rPr>
          <w:rFonts w:ascii="Calibri" w:cs="Calibri" w:eastAsia="Calibri" w:hAnsi="Calibri"/>
          <w:color w:val="1A1A1A"/>
          <w:sz w:val="21"/>
          <w:szCs w:val="21"/>
        </w:rPr>
        <w:t xml:space="preserve">The jsx-a11y gate could not catch it, and that is not a configuration mistake. The rule sees a &lt;label&gt; containing text in the same component and cannot prove the adjacent &lt;input&gt; is unrelated to it. This is what "an automated floor is not a usability verdict" means in practice, and it is precisely the class of defect the manual screen-reader pass in 9.D was meant to find.</w:t>
      </w:r>
    </w:p>
    <w:p>
      <w:pPr>
        <w:spacing w:after="120" w:line="276"/>
      </w:pPr>
      <w:r>
        <w:rPr>
          <w:rFonts w:ascii="Calibri" w:cs="Calibri" w:eastAsia="Calibri" w:hAnsi="Calibri"/>
          <w:color w:val="1A1A1A"/>
          <w:sz w:val="21"/>
          <w:szCs w:val="21"/>
        </w:rPr>
        <w:t xml:space="preserve">Fixed with useId() wiring htmlFor to id, plus aria-invalid and aria-describedby so a rejected field announces WHY alongside the field rather than only in colour. tests/browser/a11y.spec.ts now asserts every input on both forms exposes an accessible name in the rendered accessibility tree, so it cannot silently return.</w:t>
      </w:r>
    </w:p>
    <w:p>
      <w:pPr>
        <w:pStyle w:val="Heading2"/>
        <w:spacing w:after="140" w:before="280"/>
      </w:pPr>
      <w:r>
        <w:rPr>
          <w:rFonts w:ascii="Calibri" w:cs="Calibri" w:eastAsia="Calibri" w:hAnsi="Calibri"/>
          <w:b/>
          <w:bCs/>
          <w:color w:val="1F3864"/>
          <w:sz w:val="26"/>
          <w:szCs w:val="26"/>
        </w:rPr>
        <w:t xml:space="preserve">12.7  Three findings that were not findings</w:t>
      </w:r>
    </w:p>
    <w:p>
      <w:pPr>
        <w:spacing w:after="120" w:line="276"/>
      </w:pPr>
      <w:r>
        <w:rPr>
          <w:rFonts w:ascii="Calibri" w:cs="Calibri" w:eastAsia="Calibri" w:hAnsi="Calibri"/>
          <w:i/>
          <w:iCs/>
          <w:color w:val="1A1A1A"/>
          <w:sz w:val="21"/>
          <w:szCs w:val="21"/>
        </w:rPr>
        <w:t xml:space="preserve">Recorded because a report that only lists confirmed hits is not showing its working, and because each was a defect in the test rather than the product:</w:t>
      </w:r>
    </w:p>
    <w:p>
      <w:pPr>
        <w:pStyle w:val="ListParagraph"/>
        <w:numPr>
          <w:ilvl w:val="0"/>
          <w:numId w:val="2"/>
        </w:numPr>
        <w:spacing w:after="80" w:line="276"/>
      </w:pPr>
      <w:r>
        <w:rPr>
          <w:rFonts w:ascii="Calibri" w:cs="Calibri" w:eastAsia="Calibri" w:hAnsi="Calibri"/>
          <w:sz w:val="21"/>
          <w:szCs w:val="21"/>
        </w:rPr>
        <w:t xml:space="preserve">"No h1 on /signup." There is one. These are client components, so domcontentloaded fires while the body is still an empty shell and the assertion was counting headings in it. All eight public pages have exactly one h1, verified.</w:t>
      </w:r>
    </w:p>
    <w:p>
      <w:pPr>
        <w:pStyle w:val="ListParagraph"/>
        <w:numPr>
          <w:ilvl w:val="0"/>
          <w:numId w:val="2"/>
        </w:numPr>
        <w:spacing w:after="80" w:line="276"/>
      </w:pPr>
      <w:r>
        <w:rPr>
          <w:rFonts w:ascii="Calibri" w:cs="Calibri" w:eastAsia="Calibri" w:hAnsi="Calibri"/>
          <w:sz w:val="21"/>
          <w:szCs w:val="21"/>
        </w:rPr>
        <w:t xml:space="preserve">"No input reachable by Tab." The form is fully operable — 19 focusable elements walking email, password, date, checkbox, link. Tabbing from &lt;body&gt; moves focus into the browser's own chrome first, which the page does not control.</w:t>
      </w:r>
    </w:p>
    <w:p>
      <w:pPr>
        <w:pStyle w:val="ListParagraph"/>
        <w:numPr>
          <w:ilvl w:val="0"/>
          <w:numId w:val="2"/>
        </w:numPr>
        <w:spacing w:after="80" w:line="276"/>
      </w:pPr>
      <w:r>
        <w:rPr>
          <w:rFonts w:ascii="Calibri" w:cs="Calibri" w:eastAsia="Calibri" w:hAnsi="Calibri"/>
          <w:sz w:val="21"/>
          <w:szCs w:val="21"/>
        </w:rPr>
        <w:t xml:space="preserve">"The date field has no focus indicator." It has one. Tailwind's ring utilities compile to a box-shadow whose colour variables are present but TRANSPARENT when unfocused, so "has a box-shadow" is true either way and a single snapshot measures nothing. Replaced with a before/after comparison across outline, box-shadow and border — something visible must change on focus.</w:t>
      </w:r>
    </w:p>
    <w:p>
      <w:pPr>
        <w:spacing w:after="120" w:line="276"/>
      </w:pPr>
      <w:r>
        <w:rPr>
          <w:rFonts w:ascii="Calibri" w:cs="Calibri" w:eastAsia="Calibri" w:hAnsi="Calibri"/>
          <w:color w:val="1A1A1A"/>
          <w:sz w:val="21"/>
          <w:szCs w:val="21"/>
        </w:rPr>
        <w:t xml:space="preserve">A suite that cries wolf gets deleted by the next person who sees it red, so a false positive is worth more effort to remove than a true one is to add.</w:t>
      </w:r>
    </w:p>
    <w:p>
      <w:pPr>
        <w:pStyle w:val="Heading2"/>
        <w:spacing w:after="140" w:before="280"/>
      </w:pPr>
      <w:r>
        <w:rPr>
          <w:rFonts w:ascii="Calibri" w:cs="Calibri" w:eastAsia="Calibri" w:hAnsi="Calibri"/>
          <w:b/>
          <w:bCs/>
          <w:color w:val="1F3864"/>
          <w:sz w:val="26"/>
          <w:szCs w:val="26"/>
        </w:rPr>
        <w:t xml:space="preserve">12.8  The handover document could not be opened</w:t>
      </w:r>
    </w:p>
    <w:p>
      <w:pPr>
        <w:spacing w:after="120" w:line="276"/>
      </w:pPr>
      <w:r>
        <w:rPr>
          <w:rFonts w:ascii="Calibri" w:cs="Calibri" w:eastAsia="Calibri" w:hAnsi="Calibri"/>
          <w:color w:val="1A1A1A"/>
          <w:sz w:val="21"/>
          <w:szCs w:val="21"/>
        </w:rPr>
        <w:t xml:space="preserve">Surfaced only when the documents were converted to PDF. Gridiron_Project_Handover.docx failed with "Word experienced an error trying to open the file" — and the version from before this cycle's edits failed identically, so it had been broken since it was first generated and was handed over in that state. The combined document inherited the fault the moment it imported that part.</w:t>
      </w:r>
    </w:p>
    <w:p>
      <w:pPr>
        <w:spacing w:after="120" w:line="276"/>
      </w:pPr>
      <w:r>
        <w:rPr>
          <w:rFonts w:ascii="Calibri" w:cs="Calibri" w:eastAsia="Calibri" w:hAnsi="Calibri"/>
          <w:color w:val="1A1A1A"/>
          <w:sz w:val="21"/>
          <w:szCs w:val="21"/>
        </w:rPr>
        <w:t xml:space="preserve">Cause: two vertical tabs (0x0B) in a note, used as an ad-hoc line break. XML 1.0 forbids every C0 control character except tab, newline and carriage return, and the docx writer does not sanitise — it emits the string straight into </w:t>
      </w:r>
      <w:r>
        <w:rPr>
          <w:rFonts w:ascii="Consolas" w:cs="Consolas" w:eastAsia="Consolas" w:hAnsi="Consolas"/>
          <w:color w:val="1A1A1A"/>
          <w:sz w:val="21"/>
          <w:szCs w:val="21"/>
        </w:rPr>
        <w:t xml:space="preserve">word/document.xml</w:t>
      </w:r>
      <w:r>
        <w:rPr>
          <w:rFonts w:ascii="Calibri" w:cs="Calibri" w:eastAsia="Calibri" w:hAnsi="Calibri"/>
          <w:color w:val="1A1A1A"/>
          <w:sz w:val="21"/>
          <w:szCs w:val="21"/>
        </w:rPr>
        <w:t xml:space="preserve">. The result unzips cleanly, reads correctly as text, and is rejected by Word.</w:t>
      </w:r>
    </w:p>
    <w:p>
      <w:pPr>
        <w:spacing w:after="120" w:line="276"/>
      </w:pPr>
      <w:r>
        <w:rPr>
          <w:rFonts w:ascii="Calibri" w:cs="Calibri" w:eastAsia="Calibri" w:hAnsi="Calibri"/>
          <w:color w:val="1A1A1A"/>
          <w:sz w:val="21"/>
          <w:szCs w:val="21"/>
        </w:rPr>
        <w:t xml:space="preserve">It survived because nothing in the toolchain could see it: the generators ran in an environment with no Word installed, the archive is structurally valid, and every guard in this repository inspects source rather than the artefact. Only opening the file revealed it. Fixed, and scripts/check-docs.ts now blocks XML-illegal characters in CI — verified to pass the corrected sources and fail the exact pre-fix file. All six documents now open and convert.</w:t>
      </w:r>
    </w:p>
    <w:p>
      <w:pPr>
        <w:pStyle w:val="Heading2"/>
        <w:spacing w:after="140" w:before="280"/>
      </w:pPr>
      <w:r>
        <w:rPr>
          <w:rFonts w:ascii="Calibri" w:cs="Calibri" w:eastAsia="Calibri" w:hAnsi="Calibri"/>
          <w:b/>
          <w:bCs/>
          <w:color w:val="1F3864"/>
          <w:sz w:val="26"/>
          <w:szCs w:val="26"/>
        </w:rPr>
        <w:t xml:space="preserve">12.9  Verification performed</w:t>
      </w:r>
    </w:p>
    <w:p>
      <w:pPr>
        <w:spacing w:after="120" w:line="276"/>
      </w:pPr>
      <w:r>
        <w:rPr>
          <w:rFonts w:ascii="Calibri" w:cs="Calibri" w:eastAsia="Calibri" w:hAnsi="Calibri"/>
          <w:color w:val="1A1A1A"/>
          <w:sz w:val="21"/>
          <w:szCs w:val="21"/>
        </w:rPr>
        <w:t xml:space="preserve">Every claim in this section was checked against a live system rather than inferred from the repository:</w:t>
      </w:r>
    </w:p>
    <w:p>
      <w:pPr>
        <w:pStyle w:val="ListParagraph"/>
        <w:numPr>
          <w:ilvl w:val="0"/>
          <w:numId w:val="2"/>
        </w:numPr>
        <w:spacing w:after="80" w:line="276"/>
      </w:pPr>
      <w:r>
        <w:rPr>
          <w:rFonts w:ascii="Calibri" w:cs="Calibri" w:eastAsia="Calibri" w:hAnsi="Calibri"/>
          <w:sz w:val="21"/>
          <w:szCs w:val="21"/>
        </w:rPr>
        <w:t xml:space="preserve">Live Supabase, queried directly: object existence for the allegedly-skipped migrations, the migration ledger, and RPC grants.</w:t>
      </w:r>
    </w:p>
    <w:p>
      <w:pPr>
        <w:pStyle w:val="ListParagraph"/>
        <w:numPr>
          <w:ilvl w:val="0"/>
          <w:numId w:val="2"/>
        </w:numPr>
        <w:spacing w:after="80" w:line="276"/>
      </w:pPr>
      <w:r>
        <w:rPr>
          <w:rFonts w:ascii="Calibri" w:cs="Calibri" w:eastAsia="Calibri" w:hAnsi="Calibri"/>
          <w:sz w:val="21"/>
          <w:szCs w:val="21"/>
        </w:rPr>
        <w:t xml:space="preserve">Live Vercel API: deployment records per commit, deployment states, and runtime error groups with first/last-seen timestamps.</w:t>
      </w:r>
    </w:p>
    <w:p>
      <w:pPr>
        <w:pStyle w:val="ListParagraph"/>
        <w:numPr>
          <w:ilvl w:val="0"/>
          <w:numId w:val="2"/>
        </w:numPr>
        <w:spacing w:after="80" w:line="276"/>
      </w:pPr>
      <w:r>
        <w:rPr>
          <w:rFonts w:ascii="Calibri" w:cs="Calibri" w:eastAsia="Calibri" w:hAnsi="Calibri"/>
          <w:sz w:val="21"/>
          <w:szCs w:val="21"/>
        </w:rPr>
        <w:t xml:space="preserve">Running production over HTTP: 13 of 13 smoke assertions pass at 268b3d6 — CSP with nonce and no unsafe-inline, frame-ancestors none, nosniff, the health contract's two shapes, anonymous rejection on four money routes, cross-origin CSRF refusal, both 410 tombstones, and 404 on unknown API paths across five methods.</w:t>
      </w:r>
    </w:p>
    <w:p>
      <w:pPr>
        <w:pStyle w:val="ListParagraph"/>
        <w:numPr>
          <w:ilvl w:val="0"/>
          <w:numId w:val="2"/>
        </w:numPr>
        <w:spacing w:after="80" w:line="276"/>
      </w:pPr>
      <w:r>
        <w:rPr>
          <w:rFonts w:ascii="Calibri" w:cs="Calibri" w:eastAsia="Calibri" w:hAnsi="Calibri"/>
          <w:sz w:val="21"/>
          <w:szCs w:val="21"/>
        </w:rPr>
        <w:t xml:space="preserve">Local gate on every commit: typecheck, migration guard, cron guard, 34 unit tests, the 243-combination settlement sweep, lint, and next build.</w:t>
      </w:r>
    </w:p>
    <w:p>
      <w:pPr>
        <w:spacing w:after="200"/>
      </w:pPr>
    </w:p>
    <w:p>
      <w:pPr>
        <w:spacing w:after="120" w:line="276"/>
      </w:pPr>
      <w:r>
        <w:rPr>
          <w:rFonts w:ascii="Calibri" w:cs="Calibri" w:eastAsia="Calibri" w:hAnsi="Calibri"/>
          <w:i/>
          <w:iCs/>
          <w:color w:val="1A1A1A"/>
          <w:sz w:val="21"/>
          <w:szCs w:val="21"/>
        </w:rPr>
        <w:t xml:space="preserve">What is NOT verified, and should not be read as covered: the money path has still never been run end to end against Stripe test-mode infrastructure (9.A), no browser-level journey test exists, and a successful interactive login was not exercised after the @supabase/ssr 0.5 → 0.12 upgrade — that upgrade changes session cookie handling and deserves one manual sign-in before launch.</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13.  Handover state</w:t>
      </w:r>
    </w:p>
    <w:p>
      <w:pPr>
        <w:spacing w:after="120" w:line="276"/>
      </w:pPr>
      <w:r>
        <w:rPr>
          <w:rFonts w:ascii="Calibri" w:cs="Calibri" w:eastAsia="Calibri" w:hAnsi="Calibri"/>
          <w:i/>
          <w:iCs/>
          <w:color w:val="1A1A1A"/>
          <w:sz w:val="21"/>
          <w:szCs w:val="21"/>
        </w:rPr>
        <w:t xml:space="preserve">This section exists to answer one question without the reader having to reconstruct it from the checklists: what is left, and whose job is it? Everything that could be closed in code or configuration has been. What remains is credentials, an accounting of real processors, and legal advice — none of which can be written into a repository.</w:t>
      </w:r>
    </w:p>
    <w:p>
      <w:pPr>
        <w:pStyle w:val="Heading2"/>
        <w:spacing w:after="140" w:before="280"/>
      </w:pPr>
      <w:r>
        <w:rPr>
          <w:rFonts w:ascii="Calibri" w:cs="Calibri" w:eastAsia="Calibri" w:hAnsi="Calibri"/>
          <w:b/>
          <w:bCs/>
          <w:color w:val="1F3864"/>
          <w:sz w:val="26"/>
          <w:szCs w:val="26"/>
        </w:rPr>
        <w:t xml:space="preserve">13.1  What the client must do</w:t>
      </w:r>
    </w:p>
    <w:p>
      <w:pPr>
        <w:spacing w:after="120" w:line="276"/>
      </w:pPr>
      <w:r>
        <w:rPr>
          <w:rFonts w:ascii="Calibri" w:cs="Calibri" w:eastAsia="Calibri" w:hAnsi="Calibri"/>
          <w:color w:val="1A1A1A"/>
          <w:sz w:val="21"/>
          <w:szCs w:val="21"/>
        </w:rPr>
        <w:t xml:space="preserve">This is the whole technical handover. Nothing here needs an engineer.</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600"/>
        <w:gridCol w:w="6760"/>
      </w:tblGrid>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1. Wire the real keys</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Set the production credentials on Vercel: SUPABASE_SERVICE_ROLE_KEY, STRIPE_SECRET_KEY, NEXT_PUBLIC_STRIPE_PUBLISHABLE_KEY, STRIPE_WEBHOOK_SECRET, PAYPAL_MODE=live plus PayPal client id/secret, CRON_SECRET, and the two Upstash variables. docs/RUNBOOK.md §3 is the table, with where each value comes from and what breaks without it.</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2. Redeploy</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Vercel snapshots environment variables into a deployment. Adding a variable changes nothing until a new build exists. This step is missed constantly — it is the reason the service-role key appeared not to work on 13 August.</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3. Mirror CRON_SECRET into GitHub</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same value must also exist as a GitHub Actions secret. Without it settle-pools.yml and alert.yml SKIP and still report success — a green workflow doing nothing.</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4. Check one URL</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curl -H "Authorization: Bearer $CRON_SECRET" https://&lt;domain&gt;/api/health — returns a component-by-component breakdown naming every unset variable and what it costs. Work the list until status reads "ok". This is the readiness test; it needs no engineer to interpret.</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5. Run the money path in test mode</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Purchase → webhook → card → picks → settlement → balance credit → payout, including a deliberately duplicated webhook delivery to prove idempotency under real conditions. This is BE-10 and it is the one item that genuinely cannot be closed without live processor credentials.</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6. Watch the deploy verify itself</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Nothing to do. Every production deployment now triggers .github/workflows/post-deploy.yml, which runs both black-box suites against the live site and fails loudly if the deployment does not behave. If it is red, open the run: the Playwright report is attached as an artefact.</w:t>
            </w:r>
          </w:p>
        </w:tc>
      </w:tr>
    </w:tbl>
    <w:p>
      <w:pPr>
        <w:pStyle w:val="Heading2"/>
        <w:spacing w:after="140" w:before="280"/>
      </w:pPr>
      <w:r>
        <w:rPr>
          <w:rFonts w:ascii="Calibri" w:cs="Calibri" w:eastAsia="Calibri" w:hAnsi="Calibri"/>
          <w:b/>
          <w:bCs/>
          <w:color w:val="1F3864"/>
          <w:sz w:val="26"/>
          <w:szCs w:val="26"/>
        </w:rPr>
        <w:t xml:space="preserve">13.2  Not code, and not the client's engineer either</w:t>
      </w:r>
    </w:p>
    <w:p>
      <w:pPr>
        <w:spacing w:after="120" w:line="276"/>
      </w:pPr>
      <w:r>
        <w:rPr>
          <w:rFonts w:ascii="Calibri" w:cs="Calibri" w:eastAsia="Calibri" w:hAnsi="Calibri"/>
          <w:color w:val="1A1A1A"/>
          <w:sz w:val="21"/>
          <w:szCs w:val="21"/>
        </w:rPr>
        <w:t xml:space="preserve">These are decisions and approvals. They gate launch but no amount of engineering closes them:</w:t>
      </w:r>
    </w:p>
    <w:p>
      <w:pPr>
        <w:pStyle w:val="ListParagraph"/>
        <w:numPr>
          <w:ilvl w:val="0"/>
          <w:numId w:val="2"/>
        </w:numPr>
        <w:spacing w:after="80" w:line="276"/>
      </w:pPr>
      <w:r>
        <w:rPr>
          <w:rFonts w:ascii="Calibri" w:cs="Calibri" w:eastAsia="Calibri" w:hAnsi="Calibri"/>
          <w:sz w:val="21"/>
          <w:szCs w:val="21"/>
        </w:rPr>
        <w:t xml:space="preserve">A legal opinion on which jurisdictions the product may operate in, then setting jurisdiction_rules accordingly. The enforcement is built and tested; the rows are a deliberate placeholder. Applying counsel's answer is a data update, not a deploy. (LEG-1, Critical)</w:t>
      </w:r>
    </w:p>
    <w:p>
      <w:pPr>
        <w:pStyle w:val="ListParagraph"/>
        <w:numPr>
          <w:ilvl w:val="0"/>
          <w:numId w:val="2"/>
        </w:numPr>
        <w:spacing w:after="80" w:line="276"/>
      </w:pPr>
      <w:r>
        <w:rPr>
          <w:rFonts w:ascii="Calibri" w:cs="Calibri" w:eastAsia="Calibri" w:hAnsi="Calibri"/>
          <w:sz w:val="21"/>
          <w:szCs w:val="21"/>
        </w:rPr>
        <w:t xml:space="preserve">Written confirmation from Stripe and PayPal that they permit this use case. Both restrict contest and gambling-adjacent businesses; operating outside the agreed category risks account termination while holding player funds. (LEG-2)</w:t>
      </w:r>
    </w:p>
    <w:p>
      <w:pPr>
        <w:pStyle w:val="ListParagraph"/>
        <w:numPr>
          <w:ilvl w:val="0"/>
          <w:numId w:val="2"/>
        </w:numPr>
        <w:spacing w:after="80" w:line="276"/>
      </w:pPr>
      <w:r>
        <w:rPr>
          <w:rFonts w:ascii="Calibri" w:cs="Calibri" w:eastAsia="Calibri" w:hAnsi="Calibri"/>
          <w:sz w:val="21"/>
          <w:szCs w:val="21"/>
        </w:rPr>
        <w:t xml:space="preserve">Counsel review of the Terms, Privacy Policy and Contest Rules. The Contest Rules now describe the implementation accurately, which makes that review cheap — but accurate is not the same as compliant. (LEG-3, High)</w:t>
      </w:r>
    </w:p>
    <w:p>
      <w:pPr>
        <w:pStyle w:val="ListParagraph"/>
        <w:numPr>
          <w:ilvl w:val="0"/>
          <w:numId w:val="2"/>
        </w:numPr>
        <w:spacing w:after="80" w:line="276"/>
      </w:pPr>
      <w:r>
        <w:rPr>
          <w:rFonts w:ascii="Calibri" w:cs="Calibri" w:eastAsia="Calibri" w:hAnsi="Calibri"/>
          <w:sz w:val="21"/>
          <w:szCs w:val="21"/>
        </w:rPr>
        <w:t xml:space="preserve">Enabling PITR and rehearsing one restore. A dashboard toggle plus an hour; a daily snapshot alone can lose up to 24 hours of money movements. (DB-5)</w:t>
      </w:r>
    </w:p>
    <w:p>
      <w:pPr>
        <w:pStyle w:val="Heading2"/>
        <w:spacing w:after="140" w:before="280"/>
      </w:pPr>
      <w:r>
        <w:rPr>
          <w:rFonts w:ascii="Calibri" w:cs="Calibri" w:eastAsia="Calibri" w:hAnsi="Calibri"/>
          <w:b/>
          <w:bCs/>
          <w:color w:val="1F3864"/>
          <w:sz w:val="26"/>
          <w:szCs w:val="26"/>
        </w:rPr>
        <w:t xml:space="preserve">13.3  Engineering work that remains</w:t>
      </w:r>
    </w:p>
    <w:p>
      <w:pPr>
        <w:spacing w:after="120" w:line="276"/>
      </w:pPr>
      <w:r>
        <w:rPr>
          <w:rFonts w:ascii="Calibri" w:cs="Calibri" w:eastAsia="Calibri" w:hAnsi="Calibri"/>
          <w:color w:val="1A1A1A"/>
          <w:sz w:val="21"/>
          <w:szCs w:val="21"/>
        </w:rPr>
        <w:t xml:space="preserve">Honestly stated rather than quietly dropped. None of it blocks launch; all of it would reduce risk:</w:t>
      </w:r>
    </w:p>
    <w:p>
      <w:pPr>
        <w:pStyle w:val="ListParagraph"/>
        <w:numPr>
          <w:ilvl w:val="0"/>
          <w:numId w:val="2"/>
        </w:numPr>
        <w:spacing w:after="80" w:line="276"/>
      </w:pPr>
      <w:r>
        <w:rPr>
          <w:rFonts w:ascii="Calibri" w:cs="Calibri" w:eastAsia="Calibri" w:hAnsi="Calibri"/>
          <w:sz w:val="21"/>
          <w:szCs w:val="21"/>
        </w:rPr>
        <w:t xml:space="preserve">A manual screen-reader pass. The browser suite now pins accessible naming, keyboard operability and focus visibility, and closing it found that every auth field was unlabelled — but automation cannot judge whether the announced order makes sense to a person. (9.D, Medium)</w:t>
      </w:r>
    </w:p>
    <w:p>
      <w:pPr>
        <w:pStyle w:val="ListParagraph"/>
        <w:numPr>
          <w:ilvl w:val="0"/>
          <w:numId w:val="2"/>
        </w:numPr>
        <w:spacing w:after="80" w:line="276"/>
      </w:pPr>
      <w:r>
        <w:rPr>
          <w:rFonts w:ascii="Calibri" w:cs="Calibri" w:eastAsia="Calibri" w:hAnsi="Calibri"/>
          <w:sz w:val="21"/>
          <w:szCs w:val="21"/>
        </w:rPr>
        <w:t xml:space="preserve">One interactive sign-in after the @supabase/ssr 0.5 → 0.12 upgrade, which changed session cookie handling. Anonymous rejection is verified; a successful login is not. (9.D, Medium)</w:t>
      </w:r>
    </w:p>
    <w:p>
      <w:pPr>
        <w:pStyle w:val="ListParagraph"/>
        <w:numPr>
          <w:ilvl w:val="0"/>
          <w:numId w:val="2"/>
        </w:numPr>
        <w:spacing w:after="80" w:line="276"/>
      </w:pPr>
      <w:r>
        <w:rPr>
          <w:rFonts w:ascii="Calibri" w:cs="Calibri" w:eastAsia="Calibri" w:hAnsi="Calibri"/>
          <w:sz w:val="21"/>
          <w:szCs w:val="21"/>
        </w:rPr>
        <w:t xml:space="preserve">A staging environment mirroring production, so money-path changes are exercised somewhere real first. (9.E, Medium)</w:t>
      </w:r>
    </w:p>
    <w:p>
      <w:pPr>
        <w:pStyle w:val="Heading2"/>
        <w:spacing w:after="140" w:before="280"/>
      </w:pPr>
      <w:r>
        <w:rPr>
          <w:rFonts w:ascii="Calibri" w:cs="Calibri" w:eastAsia="Calibri" w:hAnsi="Calibri"/>
          <w:b/>
          <w:bCs/>
          <w:color w:val="1F3864"/>
          <w:sz w:val="26"/>
          <w:szCs w:val="26"/>
        </w:rPr>
        <w:t xml:space="preserve">13.4  What was closed for handover on 13 August</w:t>
      </w:r>
    </w:p>
    <w:p>
      <w:pPr>
        <w:spacing w:after="120" w:line="276"/>
      </w:pPr>
      <w:r>
        <w:rPr>
          <w:rFonts w:ascii="Calibri" w:cs="Calibri" w:eastAsia="Calibri" w:hAnsi="Calibri"/>
          <w:color w:val="1A1A1A"/>
          <w:sz w:val="21"/>
          <w:szCs w:val="21"/>
        </w:rPr>
        <w:t xml:space="preserve">Recorded so the client's engineer can see these are deliberate, not accidental:</w:t>
      </w:r>
    </w:p>
    <w:p>
      <w:pPr>
        <w:pStyle w:val="ListParagraph"/>
        <w:numPr>
          <w:ilvl w:val="0"/>
          <w:numId w:val="2"/>
        </w:numPr>
        <w:spacing w:after="80" w:line="276"/>
      </w:pPr>
      <w:r>
        <w:rPr>
          <w:rFonts w:ascii="Calibri" w:cs="Calibri" w:eastAsia="Calibri" w:hAnsi="Calibri"/>
          <w:sz w:val="21"/>
          <w:szCs w:val="21"/>
        </w:rPr>
        <w:t xml:space="preserve">Deployment pipeline unblocked and guarded — the reason none of the compliance layer had reached users. (Section 12.1)</w:t>
      </w:r>
    </w:p>
    <w:p>
      <w:pPr>
        <w:pStyle w:val="ListParagraph"/>
        <w:numPr>
          <w:ilvl w:val="0"/>
          <w:numId w:val="2"/>
        </w:numPr>
        <w:spacing w:after="80" w:line="276"/>
      </w:pPr>
      <w:r>
        <w:rPr>
          <w:rFonts w:ascii="Calibri" w:cs="Calibri" w:eastAsia="Calibri" w:hAnsi="Calibri"/>
          <w:sz w:val="21"/>
          <w:szCs w:val="21"/>
        </w:rPr>
        <w:t xml:space="preserve">Health and readiness probe, plus the error-digest pager. Severity is split deliberately: missing money-path credentials report degraded at HTTP 200, not 503, because a probe that screams through the whole provisioning period is one nobody reads on the day it matters. Core config failure and a genuinely unreachable database still return 503.</w:t>
      </w:r>
    </w:p>
    <w:p>
      <w:pPr>
        <w:pStyle w:val="ListParagraph"/>
        <w:numPr>
          <w:ilvl w:val="0"/>
          <w:numId w:val="2"/>
        </w:numPr>
        <w:spacing w:after="80" w:line="276"/>
      </w:pPr>
      <w:r>
        <w:rPr>
          <w:rFonts w:ascii="Calibri" w:cs="Calibri" w:eastAsia="Calibri" w:hAnsi="Calibri"/>
          <w:sz w:val="21"/>
          <w:szCs w:val="21"/>
        </w:rPr>
        <w:t xml:space="preserve">Admin MFA completed end to end — enforcement plus the enrolment screen that was stranded in an unmerged PR.</w:t>
      </w:r>
    </w:p>
    <w:p>
      <w:pPr>
        <w:pStyle w:val="ListParagraph"/>
        <w:numPr>
          <w:ilvl w:val="0"/>
          <w:numId w:val="2"/>
        </w:numPr>
        <w:spacing w:after="80" w:line="276"/>
      </w:pPr>
      <w:r>
        <w:rPr>
          <w:rFonts w:ascii="Calibri" w:cs="Calibri" w:eastAsia="Calibri" w:hAnsi="Calibri"/>
          <w:sz w:val="21"/>
          <w:szCs w:val="21"/>
        </w:rPr>
        <w:t xml:space="preserve">The bootstrap endpoint made self-disabling, removing a manual cleanup step that a handover would very likely have lost.</w:t>
      </w:r>
    </w:p>
    <w:p>
      <w:pPr>
        <w:pStyle w:val="ListParagraph"/>
        <w:numPr>
          <w:ilvl w:val="0"/>
          <w:numId w:val="2"/>
        </w:numPr>
        <w:spacing w:after="80" w:line="276"/>
      </w:pPr>
      <w:r>
        <w:rPr>
          <w:rFonts w:ascii="Calibri" w:cs="Calibri" w:eastAsia="Calibri" w:hAnsi="Calibri"/>
          <w:sz w:val="21"/>
          <w:szCs w:val="21"/>
        </w:rPr>
        <w:t xml:space="preserve">Dependency upgrades merged with their breaking changes resolved, and two that would have silently disabled the lint gate held back with the reason recorded in .github/dependabot.yml.</w:t>
      </w:r>
    </w:p>
    <w:p>
      <w:pPr>
        <w:pStyle w:val="ListParagraph"/>
        <w:numPr>
          <w:ilvl w:val="0"/>
          <w:numId w:val="2"/>
        </w:numPr>
        <w:spacing w:after="80" w:line="276"/>
      </w:pPr>
      <w:r>
        <w:rPr>
          <w:rFonts w:ascii="Calibri" w:cs="Calibri" w:eastAsia="Calibri" w:hAnsi="Calibri"/>
          <w:sz w:val="21"/>
          <w:szCs w:val="21"/>
        </w:rPr>
        <w:t xml:space="preserve">Support/dispute procedure and admin bootstrap/offboarding written into docs/RUNBOOK.md §§5–6, with every table name verified against the live database.</w:t>
      </w:r>
    </w:p>
    <w:p>
      <w:pPr>
        <w:pStyle w:val="ListParagraph"/>
        <w:numPr>
          <w:ilvl w:val="0"/>
          <w:numId w:val="2"/>
        </w:numPr>
        <w:spacing w:after="80" w:line="276"/>
      </w:pPr>
      <w:r>
        <w:rPr>
          <w:rFonts w:ascii="Calibri" w:cs="Calibri" w:eastAsia="Calibri" w:hAnsi="Calibri"/>
          <w:sz w:val="21"/>
          <w:szCs w:val="21"/>
        </w:rPr>
        <w:t xml:space="preserve">Browser-level end-to-end tests at desktop and mobile viewports, which found that every auth input was unlabelled to a screen reader. (Section 12.6)</w:t>
      </w:r>
    </w:p>
    <w:p>
      <w:pPr>
        <w:pStyle w:val="ListParagraph"/>
        <w:numPr>
          <w:ilvl w:val="0"/>
          <w:numId w:val="2"/>
        </w:numPr>
        <w:spacing w:after="80" w:line="276"/>
      </w:pPr>
      <w:r>
        <w:rPr>
          <w:rFonts w:ascii="Calibri" w:cs="Calibri" w:eastAsia="Calibri" w:hAnsi="Calibri"/>
          <w:sz w:val="21"/>
          <w:szCs w:val="21"/>
        </w:rPr>
        <w:t xml:space="preserve">Post-deploy verification: both black-box suites now run automatically against the live site after every production deploy — the only kind of check that can catch a commit which merges green and never ships.</w:t>
      </w:r>
    </w:p>
    <w:p>
      <w:pPr>
        <w:pStyle w:val="ListParagraph"/>
        <w:numPr>
          <w:ilvl w:val="0"/>
          <w:numId w:val="2"/>
        </w:numPr>
        <w:spacing w:after="80" w:line="276"/>
      </w:pPr>
      <w:r>
        <w:rPr>
          <w:rFonts w:ascii="Calibri" w:cs="Calibri" w:eastAsia="Calibri" w:hAnsi="Calibri"/>
          <w:sz w:val="21"/>
          <w:szCs w:val="21"/>
        </w:rPr>
        <w:t xml:space="preserve">The handover document itself, which Word had never been able to open, and a CI guard so no generator can emit an unopenable file again. (Section 12.8)</w:t>
      </w:r>
    </w:p>
    <w:p>
      <w:pPr>
        <w:pStyle w:val="ListParagraph"/>
        <w:numPr>
          <w:ilvl w:val="0"/>
          <w:numId w:val="2"/>
        </w:numPr>
        <w:spacing w:after="80" w:line="276"/>
      </w:pPr>
      <w:r>
        <w:rPr>
          <w:rFonts w:ascii="Calibri" w:cs="Calibri" w:eastAsia="Calibri" w:hAnsi="Calibri"/>
          <w:sz w:val="21"/>
          <w:szCs w:val="21"/>
        </w:rPr>
        <w:t xml:space="preserve">Per-route guard conformance across all 53 handlers, with exemption lists that fail the build when they go stale rather than quietly outliving their reasons.</w:t>
      </w:r>
    </w:p>
    <w:p>
      <w:pPr>
        <w:spacing w:after="200"/>
      </w:pPr>
    </w:p>
    <w:p>
      <w:pPr>
        <w:spacing w:after="120" w:line="276"/>
      </w:pPr>
      <w:r>
        <w:rPr>
          <w:rFonts w:ascii="Calibri" w:cs="Calibri" w:eastAsia="Calibri" w:hAnsi="Calibri"/>
          <w:i/>
          <w:iCs/>
          <w:color w:val="1A1A1A"/>
          <w:sz w:val="21"/>
          <w:szCs w:val="21"/>
        </w:rPr>
        <w:t xml:space="preserve">Summary for the handover meeting: the code is done. Wire the keys, redeploy, watch /api/health go green, run the money path once in test mode, and get counsel's answer on jurisdictions before taking a real deposit.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4A6"/>
        <w:sz w:val="16"/>
        <w:szCs w:val="16"/>
      </w:rPr>
      <w:t xml:space="preserve">Sports Pool — Full-Stack Audit  |  2026-08-12 remediation cycle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 Pool — Full-Stack Audit</dc:title>
  <dc:creator>Security &amp; Reliability Audit</dc:creator>
  <dc:description>Frontend, backend, database and operational readiness audit with gap checklists</dc:description>
  <cp:lastModifiedBy>Un-named</cp:lastModifiedBy>
  <cp:revision>1</cp:revision>
  <dcterms:created xsi:type="dcterms:W3CDTF">2026-08-13T10:34:54.149Z</dcterms:created>
  <dcterms:modified xsi:type="dcterms:W3CDTF">2026-08-13T10:34:54.150Z</dcterms:modified>
</cp:coreProperties>
</file>

<file path=docProps/custom.xml><?xml version="1.0" encoding="utf-8"?>
<Properties xmlns="http://schemas.openxmlformats.org/officeDocument/2006/custom-properties" xmlns:vt="http://schemas.openxmlformats.org/officeDocument/2006/docPropsVTypes"/>
</file>