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Calibri" w:cs="Calibri" w:eastAsia="Calibri" w:hAnsi="Calibri"/>
          <w:b/>
          <w:bCs/>
          <w:color w:val="00B4D8"/>
          <w:sz w:val="60"/>
          <w:szCs w:val="60"/>
        </w:rPr>
        <w:t xml:space="preserve">RHK-CADcam</w:t>
      </w:r>
    </w:p>
    <w:p>
      <w:pPr>
        <w:pBdr>
          <w:bottom w:val="single" w:color="00B4D8" w:sz="12" w:space="10"/>
        </w:pBdr>
        <w:spacing w:after="160" w:before="0"/>
        <w:jc w:val="center"/>
      </w:pPr>
      <w:r>
        <w:rPr>
          <w:rFonts w:ascii="Calibri" w:cs="Calibri" w:eastAsia="Calibri" w:hAnsi="Calibri"/>
          <w:b/>
          <w:bCs/>
          <w:color w:val="16213E"/>
          <w:sz w:val="32"/>
          <w:szCs w:val="32"/>
        </w:rPr>
        <w:t xml:space="preserve">Part Labels, QR Codes &amp; Mobile Scan Flow</w:t>
      </w:r>
    </w:p>
    <w:p>
      <w:pPr>
        <w:spacing w:after="0" w:before="0"/>
      </w:pPr>
      <w:r>
        <w:t xml:space="preserve"/>
      </w:r>
    </w:p>
    <w:p>
      <w:pPr>
        <w:jc w:val="center"/>
      </w:pPr>
      <w:r>
        <w:rPr>
          <w:rFonts w:ascii="Calibri" w:cs="Calibri" w:eastAsia="Calibri" w:hAnsi="Calibri"/>
          <w:color w:val="64748B"/>
          <w:sz w:val="22"/>
          <w:szCs w:val="22"/>
        </w:rPr>
        <w:t xml:space="preserve">Dynamic Label Printing · Public Scan Route · Oversize/Manual-Cut Handling</w:t>
      </w:r>
    </w:p>
    <w:p>
      <w:pPr>
        <w:spacing w:after="0" w:before="0"/>
      </w:pPr>
      <w:r>
        <w:t xml:space="preserve"/>
      </w:r>
    </w:p>
    <w:p>
      <w:pPr>
        <w:jc w:val="center"/>
      </w:pPr>
      <w:r>
        <w:rPr>
          <w:rFonts w:ascii="Calibri" w:cs="Calibri" w:eastAsia="Calibri" w:hAnsi="Calibri"/>
          <w:i/>
          <w:iCs/>
          <w:color w:val="64748B"/>
          <w:sz w:val="18"/>
          <w:szCs w:val="18"/>
        </w:rPr>
        <w:t xml:space="preserve">Build Specification · Resident Hero Kitchen &amp; Cabinetry · June 2026</w:t>
      </w:r>
    </w:p>
    <w:p>
      <w:pPr>
        <w:spacing w:after="0" w:before="0"/>
      </w:pPr>
      <w:r>
        <w:t xml:space="preserve"/>
      </w:r>
    </w:p>
    <w:p>
      <w:pPr>
        <w:spacing w:after="0" w:before="0"/>
      </w:pPr>
      <w:r>
        <w:t xml:space="preserve"/>
      </w:r>
    </w:p>
    <w:p>
      <w:pPr>
        <w:jc w:val="center"/>
      </w:pPr>
      <w:r>
        <w:rPr>
          <w:rFonts w:ascii="Calibri" w:cs="Calibri" w:eastAsia="Calibri" w:hAnsi="Calibri"/>
          <w:b/>
          <w:bCs/>
          <w:color w:val="DC2626"/>
          <w:sz w:val="18"/>
          <w:szCs w:val="18"/>
        </w:rPr>
        <w:t xml:space="preserve">For Claude Code. Reconciled against live schema + repo. Read AGENTS.md first.</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00B4D8" w:sz="8" w:space="6"/>
        </w:pBdr>
        <w:spacing w:after="160" w:before="480"/>
      </w:pPr>
      <w:r>
        <w:rPr>
          <w:rFonts w:ascii="Calibri" w:cs="Calibri" w:eastAsia="Calibri" w:hAnsi="Calibri"/>
          <w:b/>
          <w:bCs/>
          <w:color w:val="16213E"/>
          <w:sz w:val="38"/>
          <w:szCs w:val="38"/>
        </w:rPr>
        <w:t xml:space="preserve">1. Overview</w:t>
      </w:r>
    </w:p>
    <w:p>
      <w:pPr>
        <w:spacing w:after="80" w:before="60"/>
      </w:pPr>
      <w:r>
        <w:rPr>
          <w:rFonts w:ascii="Calibri" w:cs="Calibri" w:eastAsia="Calibri" w:hAnsi="Calibri"/>
          <w:b w:val="false"/>
          <w:bCs w:val="false"/>
          <w:i w:val="false"/>
          <w:iCs w:val="false"/>
          <w:color w:val="1A1A2E"/>
          <w:sz w:val="20"/>
          <w:szCs w:val="20"/>
        </w:rPr>
        <w:t xml:space="preserve">This spec adds part labelling, QR codes, a public mobile scan flow, and oversize/manual-cut part handling to RHK-CADcam. It builds on the completed Panel Optimiser. Labels are generated per nest placement; scanning a label opens a public page that resolves the part and offers a spec view, a cabinet 3D view (scanned part highlighted), and a room view.</w:t>
      </w:r>
    </w:p>
    <w:p>
      <w:pPr>
        <w:spacing w:after="0" w:before="0"/>
      </w:pPr>
      <w:r>
        <w:t xml:space="preserve"/>
      </w:r>
    </w:p>
    <w:p>
      <w:pPr>
        <w:spacing w:after="80" w:before="60"/>
      </w:pPr>
      <w:r>
        <w:rPr>
          <w:rFonts w:ascii="Calibri" w:cs="Calibri" w:eastAsia="Calibri" w:hAnsi="Calibri"/>
          <w:b w:val="false"/>
          <w:bCs w:val="false"/>
          <w:i/>
          <w:iCs/>
          <w:color w:val="1A1A2E"/>
          <w:sz w:val="20"/>
          <w:szCs w:val="20"/>
        </w:rPr>
        <w:t xml:space="preserve">This document has been reconciled against the live Supabase schema (project xivrjteialwqmleahkfq) and the current repo. Where the earlier mobile-scan handoff note made assumptions, the corrections are called out explicitly.</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1.1  Pieces of Work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A. Dynamic Label Presets</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A label_presets table + Settings UI so labels can be printed at any size for any printer (e.g. 48×102mm, 100×50mm, A4 multi-up). Layout scales to the chosen preset.</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B. Label Generation</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Per-placement label PDF with QR code, part identity, dimensions, material, edgebanding, and a MANUAL CUT indicator for oversize parts. Built with the existing jsPDF stack + the qrcode library (to be installed).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C. Oversize / Manual-Cut Handling</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Optimiser flags parts that fit no current sheet (red + reason), excludes them from nesting and drag-drop, still labels them, and auto-clears the flag when a fitting custom sheet is added.</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D. Public Scan Route</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A genuinely public /p/[token] route (exempt from the proxy.ts auth gate) that resolves a placement token via a SECURITY DEFINER function and renders the options menu → spec / cabinet 3D / room.</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E. Cabinet View Reuse</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The cabinet 3D view reuses the existing Cabinet3DView component read-only, highlighting the scanned part in amber.</w:t>
            </w:r>
          </w:p>
        </w:tc>
      </w:tr>
    </w:tbl>
    <w:p>
      <w:r>
        <w:br w:type="page"/>
      </w:r>
    </w:p>
    <w:p>
      <w:pPr>
        <w:pStyle w:val="Heading1"/>
        <w:pBdr>
          <w:bottom w:val="single" w:color="00B4D8" w:sz="8" w:space="6"/>
        </w:pBdr>
        <w:spacing w:after="160" w:before="480"/>
      </w:pPr>
      <w:r>
        <w:rPr>
          <w:rFonts w:ascii="Calibri" w:cs="Calibri" w:eastAsia="Calibri" w:hAnsi="Calibri"/>
          <w:b/>
          <w:bCs/>
          <w:color w:val="16213E"/>
          <w:sz w:val="38"/>
          <w:szCs w:val="38"/>
        </w:rPr>
        <w:t xml:space="preserve">2. Schema Reality — Corrections to Earlier Assumptions</w:t>
      </w:r>
    </w:p>
    <w:p>
      <w:pPr>
        <w:spacing w:after="80" w:before="60"/>
      </w:pPr>
      <w:r>
        <w:rPr>
          <w:rFonts w:ascii="Calibri" w:cs="Calibri" w:eastAsia="Calibri" w:hAnsi="Calibri"/>
          <w:b w:val="false"/>
          <w:bCs w:val="false"/>
          <w:i w:val="false"/>
          <w:iCs w:val="false"/>
          <w:color w:val="1A1A2E"/>
          <w:sz w:val="20"/>
          <w:szCs w:val="20"/>
        </w:rPr>
        <w:t xml:space="preserve">The earlier mobile-scan handoff note assumed a single parts table and generic column names. The live schema differs. The resolve logic and all queries must use the real structure below.</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No single parts table</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Parts live in FIVE tables: case_parts (315 rows), toekick_parts (305), internal_parts (43), face_zones (136), cabinet_custom_parts. A placement identifies its part via source_table + source_part_id.</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No assemblies table</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The cabinet/assembly table is cabinet_instances (64 rows). It has label, assembly_class, room_id.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No jobs table</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The job table is projects (7 rows), with job_number and client_name. rooms.project_id → projects.id.</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Dimensions</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Parts use dx / dy / dz (not length_mm/width_mm/thickness_mm). cabinet_instances also uses dx/dy/dz.</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Material override</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Each part table has material_id and material_override_id. Resolve as coalesce(material_override_id, material_id). This part the note got right.</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Edge banding</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Per-part boolean columns: edge_band_top/bottom/left/right (case_parts, face_zones, toekick_parts; internal_parts uses front/top/bottom/back) PLUS an edge_banding_id FK to edge_banding. Not a separate edges table.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Operations</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part_operations (source_table + source_part_id pattern). Already extended for routing in the earlier spec.</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nest_placements</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Already has source_table, source_part_id, nest_sheet_id, sheet_x, sheet_y, rotation, cut_dx, cut_dy. The label token and oversize flag attach here.</w:t>
            </w:r>
          </w:p>
        </w:tc>
      </w:tr>
    </w:tbl>
    <w:p>
      <w:r>
        <w:br w:type="page"/>
      </w:r>
    </w:p>
    <w:p>
      <w:pPr>
        <w:pStyle w:val="Heading1"/>
        <w:pBdr>
          <w:bottom w:val="single" w:color="00B4D8" w:sz="8" w:space="6"/>
        </w:pBdr>
        <w:spacing w:after="160" w:before="480"/>
      </w:pPr>
      <w:r>
        <w:rPr>
          <w:rFonts w:ascii="Calibri" w:cs="Calibri" w:eastAsia="Calibri" w:hAnsi="Calibri"/>
          <w:b/>
          <w:bCs/>
          <w:color w:val="16213E"/>
          <w:sz w:val="38"/>
          <w:szCs w:val="38"/>
        </w:rPr>
        <w:t xml:space="preserve">3. Part A — Dynamic Label Presets</w:t>
      </w:r>
    </w:p>
    <w:p>
      <w:pPr>
        <w:spacing w:after="80" w:before="60"/>
      </w:pPr>
      <w:r>
        <w:rPr>
          <w:rFonts w:ascii="Calibri" w:cs="Calibri" w:eastAsia="Calibri" w:hAnsi="Calibri"/>
          <w:b w:val="false"/>
          <w:bCs w:val="false"/>
          <w:i w:val="false"/>
          <w:iCs w:val="false"/>
          <w:color w:val="1A1A2E"/>
          <w:sz w:val="20"/>
          <w:szCs w:val="20"/>
        </w:rPr>
        <w:t xml:space="preserve">Labels must print at different sizes for different printers. Rather than hardcoding 48×102mm, store presets and pick one at print time. The layout engine scales the QR and text to the chosen preset.</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3.1  New Table: label_presets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200"/>
        <w:gridCol w:w="4400"/>
      </w:tblGrid>
      <w:tr>
        <w:trPr>
          <w:tblHeader/>
        </w:trPr>
        <w:tc>
          <w:tcPr>
            <w:tcW w:type="dxa" w:w="23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Field</w:t>
            </w:r>
          </w:p>
        </w:tc>
        <w:tc>
          <w:tcPr>
            <w:tcW w:type="dxa" w:w="15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Type</w:t>
            </w:r>
          </w:p>
        </w:tc>
        <w:tc>
          <w:tcPr>
            <w:tcW w:type="dxa" w:w="12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Default</w:t>
            </w:r>
          </w:p>
        </w:tc>
        <w:tc>
          <w:tcPr>
            <w:tcW w:type="dxa" w:w="44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Description</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uuid</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gen_random_uuid()</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Primary key</w:t>
            </w:r>
          </w:p>
        </w:tc>
      </w:tr>
      <w:tr>
        <w:tc>
          <w:tcPr>
            <w:tcW w:type="dxa" w:w="2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name</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text</w:t>
            </w:r>
          </w:p>
        </w:tc>
        <w:tc>
          <w:tcPr>
            <w:tcW w:type="dxa" w:w="1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Display name, e.g. "Brother 48×102", "Zebra 100×50", "A4 3×8 sheet"</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width_mm</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numeric</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Label width in mm</w:t>
            </w:r>
          </w:p>
        </w:tc>
      </w:tr>
      <w:tr>
        <w:tc>
          <w:tcPr>
            <w:tcW w:type="dxa" w:w="2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height_mm</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numeric</w:t>
            </w:r>
          </w:p>
        </w:tc>
        <w:tc>
          <w:tcPr>
            <w:tcW w:type="dxa" w:w="1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Label height in mm</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orientation</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text</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portrait</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portrait | landscape — how content lays out within the label</w:t>
            </w:r>
          </w:p>
        </w:tc>
      </w:tr>
      <w:tr>
        <w:tc>
          <w:tcPr>
            <w:tcW w:type="dxa" w:w="2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margin_mm</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numeric</w:t>
            </w:r>
          </w:p>
        </w:tc>
        <w:tc>
          <w:tcPr>
            <w:tcW w:type="dxa" w:w="1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3</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Inner margin/quiet zone around content</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qr_size_mm</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numeric</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22</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QR code square size in mm. Scales with the label.</w:t>
            </w:r>
          </w:p>
        </w:tc>
      </w:tr>
      <w:tr>
        <w:tc>
          <w:tcPr>
            <w:tcW w:type="dxa" w:w="2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qr_position</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text</w:t>
            </w:r>
          </w:p>
        </w:tc>
        <w:tc>
          <w:tcPr>
            <w:tcW w:type="dxa" w:w="1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right</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left | right | top | bottom — where the QR sits relative to the text block</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show_dimensions</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boolean</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true</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Show W×H×T dimensions on the label</w:t>
            </w:r>
          </w:p>
        </w:tc>
      </w:tr>
      <w:tr>
        <w:tc>
          <w:tcPr>
            <w:tcW w:type="dxa" w:w="2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show_material</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boolean</w:t>
            </w:r>
          </w:p>
        </w:tc>
        <w:tc>
          <w:tcPr>
            <w:tcW w:type="dxa" w:w="1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true</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Show material name</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show_edgebanding</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boolean</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true</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Show edgebanding summary</w:t>
            </w:r>
          </w:p>
        </w:tc>
      </w:tr>
      <w:tr>
        <w:tc>
          <w:tcPr>
            <w:tcW w:type="dxa" w:w="2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show_cabinet_label</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boolean</w:t>
            </w:r>
          </w:p>
        </w:tc>
        <w:tc>
          <w:tcPr>
            <w:tcW w:type="dxa" w:w="1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true</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Show cabinet label + room + job</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font_scale</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numeric</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1.0</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Multiplier on base font sizes for fine-tuning legibility per printer</w:t>
            </w:r>
          </w:p>
        </w:tc>
      </w:tr>
      <w:tr>
        <w:tc>
          <w:tcPr>
            <w:tcW w:type="dxa" w:w="2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per_page</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integer</w:t>
            </w:r>
          </w:p>
        </w:tc>
        <w:tc>
          <w:tcPr>
            <w:tcW w:type="dxa" w:w="1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1</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Labels per page. 1 = dedicated label printer (one label = one page). &gt;1 = multi-up on a larger sheet (e.g. A4 peel sheets).</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page_width_mm</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numeric</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null</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For multi-up only: the carrier sheet width (e.g. 210 for A4). Null when per_page = 1.</w:t>
            </w:r>
          </w:p>
        </w:tc>
      </w:tr>
      <w:tr>
        <w:tc>
          <w:tcPr>
            <w:tcW w:type="dxa" w:w="2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page_height_mm</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numeric</w:t>
            </w:r>
          </w:p>
        </w:tc>
        <w:tc>
          <w:tcPr>
            <w:tcW w:type="dxa" w:w="1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null</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For multi-up only: carrier sheet height (e.g. 297 for A4).</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is_default</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boolean</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false</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Pre-selected preset in the print dialog</w:t>
            </w:r>
          </w:p>
        </w:tc>
      </w:tr>
      <w:tr>
        <w:tc>
          <w:tcPr>
            <w:tcW w:type="dxa" w:w="2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is_active</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boolean</w:t>
            </w:r>
          </w:p>
        </w:tc>
        <w:tc>
          <w:tcPr>
            <w:tcW w:type="dxa" w:w="1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true</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Soft delete</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created_at</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timestamptz</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now()</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w:t>
            </w:r>
          </w:p>
        </w:tc>
      </w:tr>
    </w:tbl>
    <w:p>
      <w:pPr>
        <w:spacing w:after="0" w:before="0"/>
      </w:pPr>
      <w:r>
        <w:t xml:space="preserve"/>
      </w:r>
    </w:p>
    <w:p>
      <w:pPr>
        <w:pBdr>
          <w:left w:val="single" w:color="00B4D8" w:sz="12" w:space="8"/>
        </w:pBdr>
        <w:spacing w:after="80" w:before="60"/>
        <w:ind w:left="360"/>
      </w:pPr>
      <w:r>
        <w:rPr>
          <w:rFonts w:ascii="Calibri" w:cs="Calibri" w:eastAsia="Calibri" w:hAnsi="Calibri"/>
          <w:i/>
          <w:iCs/>
          <w:color w:val="64748B"/>
          <w:sz w:val="18"/>
          <w:szCs w:val="18"/>
        </w:rPr>
        <w:t xml:space="preserve">⚑  Seed one default preset matching the current need: name "Brother 48×102", width_mm 48, height_mm 102, per_page 1.</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3.2  Label Presets UI</w:t>
      </w:r>
    </w:p>
    <w:p>
      <w:pPr>
        <w:spacing w:after="80" w:before="60"/>
      </w:pPr>
      <w:r>
        <w:rPr>
          <w:rFonts w:ascii="Calibri" w:cs="Calibri" w:eastAsia="Calibri" w:hAnsi="Calibri"/>
          <w:b w:val="false"/>
          <w:bCs w:val="false"/>
          <w:i w:val="false"/>
          <w:iCs w:val="false"/>
          <w:color w:val="1A1A2E"/>
          <w:sz w:val="20"/>
          <w:szCs w:val="20"/>
        </w:rPr>
        <w:t xml:space="preserve">Add a "Label Presets" section under Settings (near the CNC / output group). Standard CRUD list matching existing settings patterns: name, dimensions, QR size/position, field toggles, per-page. A small live preview rendering the label layout at the chosen size helps the operator set it up.</w:t>
      </w:r>
    </w:p>
    <w:p>
      <w:r>
        <w:br w:type="page"/>
      </w:r>
    </w:p>
    <w:p>
      <w:pPr>
        <w:pStyle w:val="Heading1"/>
        <w:pBdr>
          <w:bottom w:val="single" w:color="00B4D8" w:sz="8" w:space="6"/>
        </w:pBdr>
        <w:spacing w:after="160" w:before="480"/>
      </w:pPr>
      <w:r>
        <w:rPr>
          <w:rFonts w:ascii="Calibri" w:cs="Calibri" w:eastAsia="Calibri" w:hAnsi="Calibri"/>
          <w:b/>
          <w:bCs/>
          <w:color w:val="16213E"/>
          <w:sz w:val="38"/>
          <w:szCs w:val="38"/>
        </w:rPr>
        <w:t xml:space="preserve">4. Part B — Label Generation</w:t>
      </w:r>
    </w:p>
    <w:p>
      <w:pPr>
        <w:spacing w:after="80" w:before="60"/>
      </w:pPr>
      <w:r>
        <w:rPr>
          <w:rFonts w:ascii="Calibri" w:cs="Calibri" w:eastAsia="Calibri" w:hAnsi="Calibri"/>
          <w:b w:val="false"/>
          <w:bCs w:val="false"/>
          <w:i w:val="false"/>
          <w:iCs w:val="false"/>
          <w:color w:val="1A1A2E"/>
          <w:sz w:val="20"/>
          <w:szCs w:val="20"/>
        </w:rPr>
        <w:t xml:space="preserve">Labels are generated from a completed nest run — one label per nest_placement, including oversize/manual-cut parts. Uses the existing jsPDF stack plus the qrcode library.</w:t>
      </w:r>
    </w:p>
    <w:p>
      <w:pPr>
        <w:spacing w:after="0" w:before="0"/>
      </w:pPr>
      <w:r>
        <w:t xml:space="preserve"/>
      </w:r>
    </w:p>
    <w:p>
      <w:pPr>
        <w:pBdr>
          <w:left w:val="single" w:color="DC2626" w:sz="12" w:space="8"/>
        </w:pBdr>
        <w:spacing w:after="80" w:before="60"/>
        <w:ind w:left="360"/>
      </w:pPr>
      <w:r>
        <w:rPr>
          <w:rFonts w:ascii="Calibri" w:cs="Calibri" w:eastAsia="Calibri" w:hAnsi="Calibri"/>
          <w:b/>
          <w:bCs/>
          <w:color w:val="DC2626"/>
          <w:sz w:val="18"/>
          <w:szCs w:val="18"/>
        </w:rPr>
        <w:t xml:space="preserve">✖  qrcode is NOT installed. Run: npm install qrcode  (and npm install -D @types/qrcode). Use it to render the QR as an SVG path or data URL, then place it into the jsPDF label.</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4.1  What Prints on Each Label</w:t>
      </w:r>
    </w:p>
    <w:p>
      <w:pPr>
        <w:pStyle w:val="ListParagraph"/>
        <w:numPr>
          <w:ilvl w:val="0"/>
          <w:numId w:val="2"/>
        </w:numPr>
        <w:spacing w:after="40" w:before="40"/>
      </w:pPr>
      <w:r>
        <w:rPr>
          <w:rFonts w:ascii="Calibri" w:cs="Calibri" w:eastAsia="Calibri" w:hAnsi="Calibri"/>
          <w:color w:val="1A1A2E"/>
          <w:sz w:val="19"/>
          <w:szCs w:val="19"/>
        </w:rPr>
        <w:t xml:space="preserve">QR code — encodes the public scan URL https://&lt;app-domain&gt;/p/&lt;token&gt; (see Part D). Sized/positioned per the preset.</w:t>
      </w:r>
    </w:p>
    <w:p>
      <w:pPr>
        <w:pStyle w:val="ListParagraph"/>
        <w:numPr>
          <w:ilvl w:val="0"/>
          <w:numId w:val="2"/>
        </w:numPr>
        <w:spacing w:after="40" w:before="40"/>
      </w:pPr>
      <w:r>
        <w:rPr>
          <w:rFonts w:ascii="Calibri" w:cs="Calibri" w:eastAsia="Calibri" w:hAnsi="Calibri"/>
          <w:color w:val="1A1A2E"/>
          <w:sz w:val="19"/>
          <w:szCs w:val="19"/>
        </w:rPr>
        <w:t xml:space="preserve">Part label / identity — e.g. "K03 — Left Side" (from cabinet_instances.label + the part key/role).</w:t>
      </w:r>
    </w:p>
    <w:p>
      <w:pPr>
        <w:pStyle w:val="ListParagraph"/>
        <w:numPr>
          <w:ilvl w:val="0"/>
          <w:numId w:val="2"/>
        </w:numPr>
        <w:spacing w:after="40" w:before="40"/>
      </w:pPr>
      <w:r>
        <w:rPr>
          <w:rFonts w:ascii="Calibri" w:cs="Calibri" w:eastAsia="Calibri" w:hAnsi="Calibri"/>
          <w:color w:val="1A1A2E"/>
          <w:sz w:val="19"/>
          <w:szCs w:val="19"/>
        </w:rPr>
        <w:t xml:space="preserve">Dimensions — cut size W×H×T from the placement (cut_dx, cut_dy) and part dz. JetBrains Mono or similar for legibility.</w:t>
      </w:r>
    </w:p>
    <w:p>
      <w:pPr>
        <w:pStyle w:val="ListParagraph"/>
        <w:numPr>
          <w:ilvl w:val="0"/>
          <w:numId w:val="2"/>
        </w:numPr>
        <w:spacing w:after="40" w:before="40"/>
      </w:pPr>
      <w:r>
        <w:rPr>
          <w:rFonts w:ascii="Calibri" w:cs="Calibri" w:eastAsia="Calibri" w:hAnsi="Calibri"/>
          <w:color w:val="1A1A2E"/>
          <w:sz w:val="19"/>
          <w:szCs w:val="19"/>
        </w:rPr>
        <w:t xml:space="preserve">Material — resolved material name.</w:t>
      </w:r>
    </w:p>
    <w:p>
      <w:pPr>
        <w:pStyle w:val="ListParagraph"/>
        <w:numPr>
          <w:ilvl w:val="0"/>
          <w:numId w:val="2"/>
        </w:numPr>
        <w:spacing w:after="40" w:before="40"/>
      </w:pPr>
      <w:r>
        <w:rPr>
          <w:rFonts w:ascii="Calibri" w:cs="Calibri" w:eastAsia="Calibri" w:hAnsi="Calibri"/>
          <w:color w:val="1A1A2E"/>
          <w:sz w:val="19"/>
          <w:szCs w:val="19"/>
        </w:rPr>
        <w:t xml:space="preserve">Edgebanding — short summary of which edges are banded (e.g. "EB: T,B,L").</w:t>
      </w:r>
    </w:p>
    <w:p>
      <w:pPr>
        <w:pStyle w:val="ListParagraph"/>
        <w:numPr>
          <w:ilvl w:val="0"/>
          <w:numId w:val="2"/>
        </w:numPr>
        <w:spacing w:after="40" w:before="40"/>
      </w:pPr>
      <w:r>
        <w:rPr>
          <w:rFonts w:ascii="Calibri" w:cs="Calibri" w:eastAsia="Calibri" w:hAnsi="Calibri"/>
          <w:color w:val="1A1A2E"/>
          <w:sz w:val="19"/>
          <w:szCs w:val="19"/>
        </w:rPr>
        <w:t xml:space="preserve">Cabinet / room / job — cabinet label, room name, job number for floor identification.</w:t>
      </w:r>
    </w:p>
    <w:p>
      <w:pPr>
        <w:pStyle w:val="ListParagraph"/>
        <w:numPr>
          <w:ilvl w:val="0"/>
          <w:numId w:val="2"/>
        </w:numPr>
        <w:spacing w:after="40" w:before="40"/>
      </w:pPr>
      <w:r>
        <w:rPr>
          <w:rFonts w:ascii="Calibri" w:cs="Calibri" w:eastAsia="Calibri" w:hAnsi="Calibri"/>
          <w:color w:val="1A1A2E"/>
          <w:sz w:val="19"/>
          <w:szCs w:val="19"/>
        </w:rPr>
        <w:t xml:space="preserve">MANUAL CUT indicator — for oversize parts, print "MANUAL CUT — NOT NESTED" prominently in the layout (see Part C).</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4.2  Print Entry Points</w:t>
      </w:r>
    </w:p>
    <w:p>
      <w:pPr>
        <w:pStyle w:val="ListParagraph"/>
        <w:numPr>
          <w:ilvl w:val="0"/>
          <w:numId w:val="2"/>
        </w:numPr>
        <w:spacing w:after="40" w:before="40"/>
      </w:pPr>
      <w:r>
        <w:rPr>
          <w:rFonts w:ascii="Calibri" w:cs="Calibri" w:eastAsia="Calibri" w:hAnsi="Calibri"/>
          <w:color w:val="1A1A2E"/>
          <w:sz w:val="19"/>
          <w:szCs w:val="19"/>
        </w:rPr>
        <w:t xml:space="preserve">From the optimiser, after a nest run: "Print Labels" action — generates labels for all placements in the run (nested + manual-cut).</w:t>
      </w:r>
    </w:p>
    <w:p>
      <w:pPr>
        <w:pStyle w:val="ListParagraph"/>
        <w:numPr>
          <w:ilvl w:val="0"/>
          <w:numId w:val="2"/>
        </w:numPr>
        <w:spacing w:after="40" w:before="40"/>
      </w:pPr>
      <w:r>
        <w:rPr>
          <w:rFonts w:ascii="Calibri" w:cs="Calibri" w:eastAsia="Calibri" w:hAnsi="Calibri"/>
          <w:color w:val="1A1A2E"/>
          <w:sz w:val="19"/>
          <w:szCs w:val="19"/>
        </w:rPr>
        <w:t xml:space="preserve">Print dialog: select a label_preset (defaults to is_default). For multi-up presets, lay out per_page labels per carrier sheet.</w:t>
      </w:r>
    </w:p>
    <w:p>
      <w:pPr>
        <w:pStyle w:val="ListParagraph"/>
        <w:numPr>
          <w:ilvl w:val="0"/>
          <w:numId w:val="2"/>
        </w:numPr>
        <w:spacing w:after="40" w:before="40"/>
      </w:pPr>
      <w:r>
        <w:rPr>
          <w:rFonts w:ascii="Calibri" w:cs="Calibri" w:eastAsia="Calibri" w:hAnsi="Calibri"/>
          <w:color w:val="1A1A2E"/>
          <w:sz w:val="19"/>
          <w:szCs w:val="19"/>
        </w:rPr>
        <w:t xml:space="preserve">Optionally allow printing labels for a single sheet, or a single selected part, not just the whole run.</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4.3  Layout Engine</w:t>
      </w:r>
    </w:p>
    <w:p>
      <w:pPr>
        <w:spacing w:after="80" w:before="60"/>
      </w:pPr>
      <w:r>
        <w:rPr>
          <w:rFonts w:ascii="Calibri" w:cs="Calibri" w:eastAsia="Calibri" w:hAnsi="Calibri"/>
          <w:b w:val="false"/>
          <w:bCs w:val="false"/>
          <w:i w:val="false"/>
          <w:iCs w:val="false"/>
          <w:color w:val="1A1A2E"/>
          <w:sz w:val="20"/>
          <w:szCs w:val="20"/>
        </w:rPr>
        <w:t xml:space="preserve">The label renderer takes the preset dimensions and lays out the QR + text responsively so it reads well whether tall (48×102) or wide (100×50). Honour margin_mm as a quiet zone around the QR (QR codes need clear margin to scan). Scale font sizes by font_scale. For per_page &gt; 1, tile labels across the carrier sheet with correct mm offsets.</w:t>
      </w:r>
    </w:p>
    <w:p>
      <w:r>
        <w:br w:type="page"/>
      </w:r>
    </w:p>
    <w:p>
      <w:pPr>
        <w:pStyle w:val="Heading1"/>
        <w:pBdr>
          <w:bottom w:val="single" w:color="00B4D8" w:sz="8" w:space="6"/>
        </w:pBdr>
        <w:spacing w:after="160" w:before="480"/>
      </w:pPr>
      <w:r>
        <w:rPr>
          <w:rFonts w:ascii="Calibri" w:cs="Calibri" w:eastAsia="Calibri" w:hAnsi="Calibri"/>
          <w:b/>
          <w:bCs/>
          <w:color w:val="16213E"/>
          <w:sz w:val="38"/>
          <w:szCs w:val="38"/>
        </w:rPr>
        <w:t xml:space="preserve">5. Part C — Oversize / Manual-Cut Handling</w:t>
      </w:r>
    </w:p>
    <w:p>
      <w:pPr>
        <w:spacing w:after="80" w:before="60"/>
      </w:pPr>
      <w:r>
        <w:rPr>
          <w:rFonts w:ascii="Calibri" w:cs="Calibri" w:eastAsia="Calibri" w:hAnsi="Calibri"/>
          <w:b w:val="false"/>
          <w:bCs w:val="false"/>
          <w:i w:val="false"/>
          <w:iCs w:val="false"/>
          <w:color w:val="1A1A2E"/>
          <w:sz w:val="20"/>
          <w:szCs w:val="20"/>
        </w:rPr>
        <w:t xml:space="preserve">A part that fits no currently-available sheet for its material is flagged as oversize: shown red with a reason, excluded from auto-nest and drag-drop, but still labelled for hand-cutting on the saw. The flag is LIVE — it reflects the current sheet set and clears automatically when a fitting sheet is added.</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5.1  Behaviour</w:t>
      </w:r>
    </w:p>
    <w:p>
      <w:pPr>
        <w:pStyle w:val="ListParagraph"/>
        <w:numPr>
          <w:ilvl w:val="0"/>
          <w:numId w:val="3"/>
        </w:numPr>
        <w:spacing w:after="40" w:before="40"/>
      </w:pPr>
      <w:r>
        <w:rPr>
          <w:rFonts w:ascii="Calibri" w:cs="Calibri" w:eastAsia="Calibri" w:hAnsi="Calibri"/>
          <w:color w:val="1A1A2E"/>
          <w:sz w:val="19"/>
          <w:szCs w:val="19"/>
        </w:rPr>
        <w:t xml:space="preserve">During nesting, for each part, check whether it fits any sheet defined for its material (after trim margins, considering rotation if allowed). If it fits none, mark it oversize.</w:t>
      </w:r>
    </w:p>
    <w:p>
      <w:pPr>
        <w:pStyle w:val="ListParagraph"/>
        <w:numPr>
          <w:ilvl w:val="0"/>
          <w:numId w:val="3"/>
        </w:numPr>
        <w:spacing w:after="40" w:before="40"/>
      </w:pPr>
      <w:r>
        <w:rPr>
          <w:rFonts w:ascii="Calibri" w:cs="Calibri" w:eastAsia="Calibri" w:hAnsi="Calibri"/>
          <w:color w:val="1A1A2E"/>
          <w:sz w:val="19"/>
          <w:szCs w:val="19"/>
        </w:rPr>
        <w:t xml:space="preserve">Oversize parts are NOT placed on any sheet. They appear in a separate "Manual / Oversize" group in the parts list, highlighted red.</w:t>
      </w:r>
    </w:p>
    <w:p>
      <w:pPr>
        <w:pStyle w:val="ListParagraph"/>
        <w:numPr>
          <w:ilvl w:val="0"/>
          <w:numId w:val="3"/>
        </w:numPr>
        <w:spacing w:after="40" w:before="40"/>
      </w:pPr>
      <w:r>
        <w:rPr>
          <w:rFonts w:ascii="Calibri" w:cs="Calibri" w:eastAsia="Calibri" w:hAnsi="Calibri"/>
          <w:color w:val="1A1A2E"/>
          <w:sz w:val="19"/>
          <w:szCs w:val="19"/>
        </w:rPr>
        <w:t xml:space="preserve">A reason note is shown inline, e.g. "Too big: 2700 × 650 exceeds all 16mm Whiteboard sheets (max 2400 × 1200)." State the offending dimension and the largest available sheet.</w:t>
      </w:r>
    </w:p>
    <w:p>
      <w:pPr>
        <w:pStyle w:val="ListParagraph"/>
        <w:numPr>
          <w:ilvl w:val="0"/>
          <w:numId w:val="3"/>
        </w:numPr>
        <w:spacing w:after="40" w:before="40"/>
      </w:pPr>
      <w:r>
        <w:rPr>
          <w:rFonts w:ascii="Calibri" w:cs="Calibri" w:eastAsia="Calibri" w:hAnsi="Calibri"/>
          <w:color w:val="1A1A2E"/>
          <w:sz w:val="19"/>
          <w:szCs w:val="19"/>
        </w:rPr>
        <w:t xml:space="preserve">Oversize parts cannot be dragged onto a sheet they do not fit — the drop is rejected (same mechanism as the overlap rule).</w:t>
      </w:r>
    </w:p>
    <w:p>
      <w:pPr>
        <w:pStyle w:val="ListParagraph"/>
        <w:numPr>
          <w:ilvl w:val="0"/>
          <w:numId w:val="3"/>
        </w:numPr>
        <w:spacing w:after="40" w:before="40"/>
      </w:pPr>
      <w:r>
        <w:rPr>
          <w:rFonts w:ascii="Calibri" w:cs="Calibri" w:eastAsia="Calibri" w:hAnsi="Calibri"/>
          <w:color w:val="1A1A2E"/>
          <w:sz w:val="19"/>
          <w:szCs w:val="19"/>
        </w:rPr>
        <w:t xml:space="preserve">The operator can add a custom sheet (existing optimiser feature) — e.g. type in an oversize 16mm Whiteboard offcut. On any change to the sheet set, re-evaluate all oversize parts. Any that now fit a sheet lose the oversize flag and become eligible for nesting onto that sheet.</w:t>
      </w:r>
    </w:p>
    <w:p>
      <w:pPr>
        <w:pStyle w:val="ListParagraph"/>
        <w:numPr>
          <w:ilvl w:val="0"/>
          <w:numId w:val="3"/>
        </w:numPr>
        <w:spacing w:after="40" w:before="40"/>
      </w:pPr>
      <w:r>
        <w:rPr>
          <w:rFonts w:ascii="Calibri" w:cs="Calibri" w:eastAsia="Calibri" w:hAnsi="Calibri"/>
          <w:color w:val="1A1A2E"/>
          <w:sz w:val="19"/>
          <w:szCs w:val="19"/>
        </w:rPr>
        <w:t xml:space="preserve">Oversize parts still get a nest_placement record (with no nest_sheet_id) so they receive a token and a label. The label prints "MANUAL CUT — NOT NESTED".</w:t>
      </w:r>
    </w:p>
    <w:p>
      <w:pPr>
        <w:spacing w:after="0" w:before="0"/>
      </w:pPr>
      <w:r>
        <w:t xml:space="preserve"/>
      </w:r>
    </w:p>
    <w:p>
      <w:pPr>
        <w:pBdr>
          <w:left w:val="single" w:color="DC2626" w:sz="12" w:space="8"/>
        </w:pBdr>
        <w:spacing w:after="80" w:before="60"/>
        <w:ind w:left="360"/>
      </w:pPr>
      <w:r>
        <w:rPr>
          <w:rFonts w:ascii="Calibri" w:cs="Calibri" w:eastAsia="Calibri" w:hAnsi="Calibri"/>
          <w:b/>
          <w:bCs/>
          <w:color w:val="DC2626"/>
          <w:sz w:val="18"/>
          <w:szCs w:val="18"/>
        </w:rPr>
        <w:t xml:space="preserve">✖  Oversize is relative to the CURRENT sheet set, not a fixed property. Re-run the check whenever sheets are added, removed, or resized.</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5.2  nest_placements — Schema Additions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200"/>
        <w:gridCol w:w="4400"/>
      </w:tblGrid>
      <w:tr>
        <w:trPr>
          <w:tblHeader/>
        </w:trPr>
        <w:tc>
          <w:tcPr>
            <w:tcW w:type="dxa" w:w="23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Field</w:t>
            </w:r>
          </w:p>
        </w:tc>
        <w:tc>
          <w:tcPr>
            <w:tcW w:type="dxa" w:w="15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Type</w:t>
            </w:r>
          </w:p>
        </w:tc>
        <w:tc>
          <w:tcPr>
            <w:tcW w:type="dxa" w:w="12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Default</w:t>
            </w:r>
          </w:p>
        </w:tc>
        <w:tc>
          <w:tcPr>
            <w:tcW w:type="dxa" w:w="44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Description</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public_token</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text (unique)</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NEW — 8-char base32 unguessable token (e.g. A7K2M9P3). Encoded in the label QR URL. Avoid ambiguous chars (no 0/O, 1/I). Unique index.</w:t>
            </w:r>
          </w:p>
        </w:tc>
      </w:tr>
      <w:tr>
        <w:tc>
          <w:tcPr>
            <w:tcW w:type="dxa" w:w="2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is_manual_cut</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boolean</w:t>
            </w:r>
          </w:p>
        </w:tc>
        <w:tc>
          <w:tcPr>
            <w:tcW w:type="dxa" w:w="1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false</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NEW — True for oversize parts that are labelled but not nested. nest_sheet_id is null for these.</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oversize_reason</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text</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null</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NEW — Human-readable reason shown in the parts list and optionally on the label, e.g. "exceeds all 16mm Whiteboard sheets".</w:t>
            </w:r>
          </w:p>
        </w:tc>
      </w:tr>
    </w:tbl>
    <w:p>
      <w:pPr>
        <w:pBdr>
          <w:left w:val="single" w:color="00B4D8" w:sz="12" w:space="8"/>
        </w:pBdr>
        <w:spacing w:after="80" w:before="60"/>
        <w:ind w:left="360"/>
      </w:pPr>
      <w:r>
        <w:rPr>
          <w:rFonts w:ascii="Calibri" w:cs="Calibri" w:eastAsia="Calibri" w:hAnsi="Calibri"/>
          <w:i/>
          <w:iCs/>
          <w:color w:val="64748B"/>
          <w:sz w:val="18"/>
          <w:szCs w:val="18"/>
        </w:rPr>
        <w:t xml:space="preserve">⚑  nest_sheet_id must be nullable (a manual-cut placement has no sheet). Confirm the column allows null; if not, alter it. sheet_x/sheet_y/rotation/cut_dx/cut_dy are also null/irrelevant for manual-cut parts.</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5.3  Parts List UI (Optimiser)</w:t>
      </w:r>
    </w:p>
    <w:p>
      <w:pPr>
        <w:pStyle w:val="ListParagraph"/>
        <w:numPr>
          <w:ilvl w:val="0"/>
          <w:numId w:val="2"/>
        </w:numPr>
        <w:spacing w:after="40" w:before="40"/>
      </w:pPr>
      <w:r>
        <w:rPr>
          <w:rFonts w:ascii="Calibri" w:cs="Calibri" w:eastAsia="Calibri" w:hAnsi="Calibri"/>
          <w:color w:val="1A1A2E"/>
          <w:sz w:val="19"/>
          <w:szCs w:val="19"/>
        </w:rPr>
        <w:t xml:space="preserve">Oversize rows rendered red with the reason note inline.</w:t>
      </w:r>
    </w:p>
    <w:p>
      <w:pPr>
        <w:pStyle w:val="ListParagraph"/>
        <w:numPr>
          <w:ilvl w:val="0"/>
          <w:numId w:val="2"/>
        </w:numPr>
        <w:spacing w:after="40" w:before="40"/>
      </w:pPr>
      <w:r>
        <w:rPr>
          <w:rFonts w:ascii="Calibri" w:cs="Calibri" w:eastAsia="Calibri" w:hAnsi="Calibri"/>
          <w:color w:val="1A1A2E"/>
          <w:sz w:val="19"/>
          <w:szCs w:val="19"/>
        </w:rPr>
        <w:t xml:space="preserve">A "Manual / Oversize" group separates them from nested parts.</w:t>
      </w:r>
    </w:p>
    <w:p>
      <w:pPr>
        <w:pStyle w:val="ListParagraph"/>
        <w:numPr>
          <w:ilvl w:val="0"/>
          <w:numId w:val="2"/>
        </w:numPr>
        <w:spacing w:after="40" w:before="40"/>
      </w:pPr>
      <w:r>
        <w:rPr>
          <w:rFonts w:ascii="Calibri" w:cs="Calibri" w:eastAsia="Calibri" w:hAnsi="Calibri"/>
          <w:color w:val="1A1A2E"/>
          <w:sz w:val="19"/>
          <w:szCs w:val="19"/>
        </w:rPr>
        <w:t xml:space="preserve">When a custom sheet is added that fits, the row clears red and moves into the nestable set (or onto the sheet if auto-nest is re-run).</w:t>
      </w:r>
    </w:p>
    <w:p>
      <w:r>
        <w:br w:type="page"/>
      </w:r>
    </w:p>
    <w:p>
      <w:pPr>
        <w:pStyle w:val="Heading1"/>
        <w:pBdr>
          <w:bottom w:val="single" w:color="00B4D8" w:sz="8" w:space="6"/>
        </w:pBdr>
        <w:spacing w:after="160" w:before="480"/>
      </w:pPr>
      <w:r>
        <w:rPr>
          <w:rFonts w:ascii="Calibri" w:cs="Calibri" w:eastAsia="Calibri" w:hAnsi="Calibri"/>
          <w:b/>
          <w:bCs/>
          <w:color w:val="16213E"/>
          <w:sz w:val="38"/>
          <w:szCs w:val="38"/>
        </w:rPr>
        <w:t xml:space="preserve">6. Part D — Public Scan Route</w:t>
      </w:r>
    </w:p>
    <w:p>
      <w:pPr>
        <w:pBdr>
          <w:left w:val="single" w:color="DC2626" w:sz="12" w:space="8"/>
        </w:pBdr>
        <w:spacing w:after="80" w:before="60"/>
        <w:ind w:left="360"/>
      </w:pPr>
      <w:r>
        <w:rPr>
          <w:rFonts w:ascii="Calibri" w:cs="Calibri" w:eastAsia="Calibri" w:hAnsi="Calibri"/>
          <w:b/>
          <w:bCs/>
          <w:color w:val="DC2626"/>
          <w:sz w:val="18"/>
          <w:szCs w:val="18"/>
        </w:rPr>
        <w:t xml:space="preserve">✖  The entire app is gated by proxy.ts — every route except /login redirects to /login when there is no session. A shop worker scanning a label will NOT be logged in. The scan route MUST be exempt, or the QR just bounces to a login screen.</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6.1  Auth-Gate Exemption</w:t>
      </w:r>
    </w:p>
    <w:p>
      <w:pPr>
        <w:spacing w:after="80" w:before="60"/>
      </w:pPr>
      <w:r>
        <w:rPr>
          <w:rFonts w:ascii="Calibri" w:cs="Calibri" w:eastAsia="Calibri" w:hAnsi="Calibri"/>
          <w:b w:val="false"/>
          <w:bCs w:val="false"/>
          <w:i w:val="false"/>
          <w:iCs w:val="false"/>
          <w:color w:val="1A1A2E"/>
          <w:sz w:val="20"/>
          <w:szCs w:val="20"/>
        </w:rPr>
        <w:t xml:space="preserve">In proxy.ts, add the public scan route to the exemption logic alongside the existing /login check. The path /p/ (and its sub-paths) must be reachable without a session.</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1A1A2E" w:sz="6"/>
              <w:left w:val="single" w:color="1A1A2E" w:sz="6"/>
              <w:bottom w:val="single" w:color="1A1A2E" w:sz="6"/>
              <w:right w:val="single" w:color="1A1A2E" w:sz="6"/>
            </w:tcBorders>
            <w:shd w:fill="1A1A2E" w:val="clear"/>
            <w:tcMar>
              <w:top w:type="dxa" w:w="160"/>
              <w:left w:type="dxa" w:w="200"/>
              <w:bottom w:type="dxa" w:w="160"/>
              <w:right w:type="dxa" w:w="200"/>
            </w:tcMar>
          </w:tcPr>
          <w:p>
            <w:pPr>
              <w:spacing w:after="10" w:before="10"/>
            </w:pPr>
            <w:r>
              <w:rPr>
                <w:rFonts w:ascii="Courier New" w:cs="Courier New" w:eastAsia="Courier New" w:hAnsi="Courier New"/>
                <w:color w:val="90E0EF"/>
                <w:sz w:val="15"/>
                <w:szCs w:val="15"/>
              </w:rPr>
              <w:t xml:space="preserve">// proxy.ts — alongside the existing isLoginPage check</w:t>
            </w:r>
          </w:p>
          <w:p>
            <w:pPr>
              <w:spacing w:after="10" w:before="10"/>
            </w:pPr>
            <w:r>
              <w:rPr>
                <w:rFonts w:ascii="Courier New" w:cs="Courier New" w:eastAsia="Courier New" w:hAnsi="Courier New"/>
                <w:color w:val="90E0EF"/>
                <w:sz w:val="15"/>
                <w:szCs w:val="15"/>
              </w:rPr>
              <w:t xml:space="preserve">const isPublic =</w:t>
            </w:r>
          </w:p>
          <w:p>
            <w:pPr>
              <w:spacing w:after="10" w:before="10"/>
            </w:pPr>
            <w:r>
              <w:rPr>
                <w:rFonts w:ascii="Courier New" w:cs="Courier New" w:eastAsia="Courier New" w:hAnsi="Courier New"/>
                <w:color w:val="90E0EF"/>
                <w:sz w:val="15"/>
                <w:szCs w:val="15"/>
              </w:rPr>
              <w:t xml:space="preserve">  request.nextUrl.pathname.startsWith('/login') ||</w:t>
            </w:r>
          </w:p>
          <w:p>
            <w:pPr>
              <w:spacing w:after="10" w:before="10"/>
            </w:pPr>
            <w:r>
              <w:rPr>
                <w:rFonts w:ascii="Courier New" w:cs="Courier New" w:eastAsia="Courier New" w:hAnsi="Courier New"/>
                <w:color w:val="90E0EF"/>
                <w:sz w:val="15"/>
                <w:szCs w:val="15"/>
              </w:rPr>
              <w:t xml:space="preserve">  request.nextUrl.pathname.startsWith('/p/')   // public part scan</w:t>
            </w:r>
          </w:p>
          <w:p>
            <w:pPr>
              <w:spacing w:after="10" w:before="10"/>
            </w:pPr>
            <w:r>
              <w:rPr>
                <w:rFonts w:ascii="Courier New" w:cs="Courier New" w:eastAsia="Courier New" w:hAnsi="Courier New"/>
                <w:color w:val="90E0EF"/>
                <w:sz w:val="15"/>
                <w:szCs w:val="15"/>
              </w:rPr>
              <w:t xml:space="preserve"> </w:t>
            </w:r>
          </w:p>
          <w:p>
            <w:pPr>
              <w:spacing w:after="10" w:before="10"/>
            </w:pPr>
            <w:r>
              <w:rPr>
                <w:rFonts w:ascii="Courier New" w:cs="Courier New" w:eastAsia="Courier New" w:hAnsi="Courier New"/>
                <w:color w:val="90E0EF"/>
                <w:sz w:val="15"/>
                <w:szCs w:val="15"/>
              </w:rPr>
              <w:t xml:space="preserve">// ...skip the redirect-to-login when isPublic is true.</w:t>
            </w:r>
          </w:p>
          <w:p>
            <w:pPr>
              <w:spacing w:after="10" w:before="10"/>
            </w:pPr>
            <w:r>
              <w:rPr>
                <w:rFonts w:ascii="Courier New" w:cs="Courier New" w:eastAsia="Courier New" w:hAnsi="Courier New"/>
                <w:color w:val="90E0EF"/>
                <w:sz w:val="15"/>
                <w:szCs w:val="15"/>
              </w:rPr>
              <w:t xml:space="preserve">// Also ensure the matcher config does not force auth on /p/.</w:t>
            </w:r>
          </w:p>
        </w:tc>
      </w:tr>
    </w:tbl>
    <w:p>
      <w:pPr>
        <w:spacing w:after="0" w:before="0"/>
      </w:pPr>
      <w:r>
        <w:t xml:space="preserve"/>
      </w:r>
    </w:p>
    <w:p>
      <w:pPr>
        <w:pStyle w:val="Heading2"/>
        <w:spacing w:after="120" w:before="340"/>
      </w:pPr>
      <w:r>
        <w:rPr>
          <w:rFonts w:ascii="Calibri" w:cs="Calibri" w:eastAsia="Calibri" w:hAnsi="Calibri"/>
          <w:b/>
          <w:bCs/>
          <w:color w:val="0F3460"/>
          <w:sz w:val="27"/>
          <w:szCs w:val="27"/>
        </w:rPr>
        <w:t xml:space="preserve">6.2  Anonymous Data Access — SECURITY DEFINER Function</w:t>
      </w:r>
    </w:p>
    <w:p>
      <w:pPr>
        <w:spacing w:after="80" w:before="60"/>
      </w:pPr>
      <w:r>
        <w:rPr>
          <w:rFonts w:ascii="Calibri" w:cs="Calibri" w:eastAsia="Calibri" w:hAnsi="Calibri"/>
          <w:b w:val="false"/>
          <w:bCs w:val="false"/>
          <w:i w:val="false"/>
          <w:iCs w:val="false"/>
          <w:color w:val="1A1A2E"/>
          <w:sz w:val="20"/>
          <w:szCs w:val="20"/>
        </w:rPr>
        <w:t xml:space="preserve">All tables have RLS enabled for authenticated users. An anonymous scan cannot read them directly. Create a Postgres SECURITY DEFINER function that takes a token and returns exactly the resolved part payload — nothing else. This is the only data path the public page uses. It runs with definer privileges so it bypasses RLS for this one controlled query, returning a single part bundle.</w:t>
      </w:r>
    </w:p>
    <w:p>
      <w:pPr>
        <w:spacing w:after="0" w:before="0"/>
      </w:pPr>
      <w:r>
        <w:t xml:space="preserve"/>
      </w:r>
    </w:p>
    <w:p>
      <w:pPr>
        <w:pStyle w:val="ListParagraph"/>
        <w:numPr>
          <w:ilvl w:val="0"/>
          <w:numId w:val="2"/>
        </w:numPr>
        <w:spacing w:after="40" w:before="40"/>
      </w:pPr>
      <w:r>
        <w:rPr>
          <w:rFonts w:ascii="Calibri" w:cs="Calibri" w:eastAsia="Calibri" w:hAnsi="Calibri"/>
          <w:color w:val="1A1A2E"/>
          <w:sz w:val="19"/>
          <w:szCs w:val="19"/>
        </w:rPr>
        <w:t xml:space="preserve">Function resolve_scanned_part(token text) → returns one row (or null) with the part bundle.</w:t>
      </w:r>
    </w:p>
    <w:p>
      <w:pPr>
        <w:pStyle w:val="ListParagraph"/>
        <w:numPr>
          <w:ilvl w:val="0"/>
          <w:numId w:val="2"/>
        </w:numPr>
        <w:spacing w:after="40" w:before="40"/>
      </w:pPr>
      <w:r>
        <w:rPr>
          <w:rFonts w:ascii="Calibri" w:cs="Calibri" w:eastAsia="Calibri" w:hAnsi="Calibri"/>
          <w:color w:val="1A1A2E"/>
          <w:sz w:val="19"/>
          <w:szCs w:val="19"/>
        </w:rPr>
        <w:t xml:space="preserve">Grant EXECUTE to the anon role. Do NOT grant table read to anon.</w:t>
      </w:r>
    </w:p>
    <w:p>
      <w:pPr>
        <w:pStyle w:val="ListParagraph"/>
        <w:numPr>
          <w:ilvl w:val="0"/>
          <w:numId w:val="2"/>
        </w:numPr>
        <w:spacing w:after="40" w:before="40"/>
      </w:pPr>
      <w:r>
        <w:rPr>
          <w:rFonts w:ascii="Calibri" w:cs="Calibri" w:eastAsia="Calibri" w:hAnsi="Calibri"/>
          <w:color w:val="1A1A2E"/>
          <w:sz w:val="19"/>
          <w:szCs w:val="19"/>
        </w:rPr>
        <w:t xml:space="preserve">The function looks up nest_placements by public_token, then reads the part from the correct source_table, joins cabinet_instances → rooms → projects, resolves material and edgebanding, and returns a flat JSON bundle.</w:t>
      </w:r>
    </w:p>
    <w:p>
      <w:pPr>
        <w:pStyle w:val="ListParagraph"/>
        <w:numPr>
          <w:ilvl w:val="0"/>
          <w:numId w:val="2"/>
        </w:numPr>
        <w:spacing w:after="40" w:before="40"/>
      </w:pPr>
      <w:r>
        <w:rPr>
          <w:rFonts w:ascii="Calibri" w:cs="Calibri" w:eastAsia="Calibri" w:hAnsi="Calibri"/>
          <w:color w:val="1A1A2E"/>
          <w:sz w:val="19"/>
          <w:szCs w:val="19"/>
        </w:rPr>
        <w:t xml:space="preserve">Because it only ever returns one part by an unguessable token, exposure is limited to whoever physically holds the label.</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6.3  Resolve Bundle — Shape</w:t>
      </w:r>
    </w:p>
    <w:p>
      <w:pPr>
        <w:spacing w:after="80" w:before="60"/>
      </w:pPr>
      <w:r>
        <w:rPr>
          <w:rFonts w:ascii="Calibri" w:cs="Calibri" w:eastAsia="Calibri" w:hAnsi="Calibri"/>
          <w:b w:val="false"/>
          <w:bCs w:val="false"/>
          <w:i w:val="false"/>
          <w:iCs w:val="false"/>
          <w:color w:val="1A1A2E"/>
          <w:sz w:val="20"/>
          <w:szCs w:val="20"/>
        </w:rPr>
        <w:t xml:space="preserve">The function returns a JSON object roughly as follows (real column names):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1A1A2E" w:sz="6"/>
              <w:left w:val="single" w:color="1A1A2E" w:sz="6"/>
              <w:bottom w:val="single" w:color="1A1A2E" w:sz="6"/>
              <w:right w:val="single" w:color="1A1A2E" w:sz="6"/>
            </w:tcBorders>
            <w:shd w:fill="1A1A2E" w:val="clear"/>
            <w:tcMar>
              <w:top w:type="dxa" w:w="160"/>
              <w:left w:type="dxa" w:w="200"/>
              <w:bottom w:type="dxa" w:w="160"/>
              <w:right w:type="dxa" w:w="200"/>
            </w:tcMar>
          </w:tcPr>
          <w:p>
            <w:pPr>
              <w:spacing w:after="10" w:before="10"/>
            </w:pPr>
            <w:r>
              <w:rPr>
                <w:rFonts w:ascii="Courier New" w:cs="Courier New" w:eastAsia="Courier New" w:hAnsi="Courier New"/>
                <w:color w:val="90E0EF"/>
                <w:sz w:val="15"/>
                <w:szCs w:val="15"/>
              </w:rPr>
              <w:t xml:space="preserve">{</w:t>
            </w:r>
          </w:p>
          <w:p>
            <w:pPr>
              <w:spacing w:after="10" w:before="10"/>
            </w:pPr>
            <w:r>
              <w:rPr>
                <w:rFonts w:ascii="Courier New" w:cs="Courier New" w:eastAsia="Courier New" w:hAnsi="Courier New"/>
                <w:color w:val="90E0EF"/>
                <w:sz w:val="15"/>
                <w:szCs w:val="15"/>
              </w:rPr>
              <w:t xml:space="preserve">  token, is_manual_cut, oversize_reason,</w:t>
            </w:r>
          </w:p>
          <w:p>
            <w:pPr>
              <w:spacing w:after="10" w:before="10"/>
            </w:pPr>
            <w:r>
              <w:rPr>
                <w:rFonts w:ascii="Courier New" w:cs="Courier New" w:eastAsia="Courier New" w:hAnsi="Courier New"/>
                <w:color w:val="90E0EF"/>
                <w:sz w:val="15"/>
                <w:szCs w:val="15"/>
              </w:rPr>
              <w:t xml:space="preserve">  part: { source_table, source_part_id, key_or_role,</w:t>
            </w:r>
          </w:p>
          <w:p>
            <w:pPr>
              <w:spacing w:after="10" w:before="10"/>
            </w:pPr>
            <w:r>
              <w:rPr>
                <w:rFonts w:ascii="Courier New" w:cs="Courier New" w:eastAsia="Courier New" w:hAnsi="Courier New"/>
                <w:color w:val="90E0EF"/>
                <w:sz w:val="15"/>
                <w:szCs w:val="15"/>
              </w:rPr>
              <w:t xml:space="preserve">          dx, dy, dz, grain_direction,</w:t>
            </w:r>
          </w:p>
          <w:p>
            <w:pPr>
              <w:spacing w:after="10" w:before="10"/>
            </w:pPr>
            <w:r>
              <w:rPr>
                <w:rFonts w:ascii="Courier New" w:cs="Courier New" w:eastAsia="Courier New" w:hAnsi="Courier New"/>
                <w:color w:val="90E0EF"/>
                <w:sz w:val="15"/>
                <w:szCs w:val="15"/>
              </w:rPr>
              <w:t xml:space="preserve">          edge_band: { top, bottom, left, right },</w:t>
            </w:r>
          </w:p>
          <w:p>
            <w:pPr>
              <w:spacing w:after="10" w:before="10"/>
            </w:pPr>
            <w:r>
              <w:rPr>
                <w:rFonts w:ascii="Courier New" w:cs="Courier New" w:eastAsia="Courier New" w:hAnsi="Courier New"/>
                <w:color w:val="90E0EF"/>
                <w:sz w:val="15"/>
                <w:szCs w:val="15"/>
              </w:rPr>
              <w:t xml:space="preserve">          edge_banding_name },</w:t>
            </w:r>
          </w:p>
          <w:p>
            <w:pPr>
              <w:spacing w:after="10" w:before="10"/>
            </w:pPr>
            <w:r>
              <w:rPr>
                <w:rFonts w:ascii="Courier New" w:cs="Courier New" w:eastAsia="Courier New" w:hAnsi="Courier New"/>
                <w:color w:val="90E0EF"/>
                <w:sz w:val="15"/>
                <w:szCs w:val="15"/>
              </w:rPr>
              <w:t xml:space="preserve">  material: { id, name, finish },</w:t>
            </w:r>
          </w:p>
          <w:p>
            <w:pPr>
              <w:spacing w:after="10" w:before="10"/>
            </w:pPr>
            <w:r>
              <w:rPr>
                <w:rFonts w:ascii="Courier New" w:cs="Courier New" w:eastAsia="Courier New" w:hAnsi="Courier New"/>
                <w:color w:val="90E0EF"/>
                <w:sz w:val="15"/>
                <w:szCs w:val="15"/>
              </w:rPr>
              <w:t xml:space="preserve">  cabinet: { id, label, assembly_class },</w:t>
            </w:r>
          </w:p>
          <w:p>
            <w:pPr>
              <w:spacing w:after="10" w:before="10"/>
            </w:pPr>
            <w:r>
              <w:rPr>
                <w:rFonts w:ascii="Courier New" w:cs="Courier New" w:eastAsia="Courier New" w:hAnsi="Courier New"/>
                <w:color w:val="90E0EF"/>
                <w:sz w:val="15"/>
                <w:szCs w:val="15"/>
              </w:rPr>
              <w:t xml:space="preserve">  room: { id, name },</w:t>
            </w:r>
          </w:p>
          <w:p>
            <w:pPr>
              <w:spacing w:after="10" w:before="10"/>
            </w:pPr>
            <w:r>
              <w:rPr>
                <w:rFonts w:ascii="Courier New" w:cs="Courier New" w:eastAsia="Courier New" w:hAnsi="Courier New"/>
                <w:color w:val="90E0EF"/>
                <w:sz w:val="15"/>
                <w:szCs w:val="15"/>
              </w:rPr>
              <w:t xml:space="preserve">  project: { id, job_number, name, client_name },</w:t>
            </w:r>
          </w:p>
          <w:p>
            <w:pPr>
              <w:spacing w:after="10" w:before="10"/>
            </w:pPr>
            <w:r>
              <w:rPr>
                <w:rFonts w:ascii="Courier New" w:cs="Courier New" w:eastAsia="Courier New" w:hAnsi="Courier New"/>
                <w:color w:val="90E0EF"/>
                <w:sz w:val="15"/>
                <w:szCs w:val="15"/>
              </w:rPr>
              <w:t xml:space="preserve">  placement: { nest_sheet_id, sheet_x, sheet_y, rotation,</w:t>
            </w:r>
          </w:p>
          <w:p>
            <w:pPr>
              <w:spacing w:after="10" w:before="10"/>
            </w:pPr>
            <w:r>
              <w:rPr>
                <w:rFonts w:ascii="Courier New" w:cs="Courier New" w:eastAsia="Courier New" w:hAnsi="Courier New"/>
                <w:color w:val="90E0EF"/>
                <w:sz w:val="15"/>
                <w:szCs w:val="15"/>
              </w:rPr>
              <w:t xml:space="preserve">               cut_dx, cut_dy }   // nulls for manual-cut</w:t>
            </w:r>
          </w:p>
          <w:p>
            <w:pPr>
              <w:spacing w:after="10" w:before="10"/>
            </w:pPr>
            <w:r>
              <w:rPr>
                <w:rFonts w:ascii="Courier New" w:cs="Courier New" w:eastAsia="Courier New" w:hAnsi="Courier New"/>
                <w:color w:val="90E0EF"/>
                <w:sz w:val="15"/>
                <w:szCs w:val="15"/>
              </w:rPr>
              <w:t xml:space="preserve">}</w:t>
            </w:r>
          </w:p>
        </w:tc>
      </w:tr>
    </w:tbl>
    <w:p>
      <w:pPr>
        <w:spacing w:after="0" w:before="0"/>
      </w:pPr>
      <w:r>
        <w:t xml:space="preserve"/>
      </w:r>
    </w:p>
    <w:p>
      <w:pPr>
        <w:pStyle w:val="Heading2"/>
        <w:spacing w:after="120" w:before="340"/>
      </w:pPr>
      <w:r>
        <w:rPr>
          <w:rFonts w:ascii="Calibri" w:cs="Calibri" w:eastAsia="Calibri" w:hAnsi="Calibri"/>
          <w:b/>
          <w:bCs/>
          <w:color w:val="0F3460"/>
          <w:sz w:val="27"/>
          <w:szCs w:val="27"/>
        </w:rPr>
        <w:t xml:space="preserve">6.4  Routes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/p/[token]</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Options menu — resolved part identity (label, job, chips for type/assembly/material) + three options: Part Spec, Cabinet 3D, Room.</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/p/[token]/spec</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Part description — dimensions, material (with override applied), edgebanding diagram, operations. Pure data, lowest risk.</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/p/[token]/cabinet</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Cabinet 3D — reuses Cabinet3DView read-only, scanned part highlighted amber.</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/p/[token]/room</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Room view — lower priority. Room3DScene already exists in the repo; highlight this cabinet.</w:t>
            </w:r>
          </w:p>
        </w:tc>
      </w:tr>
    </w:tbl>
    <w:p>
      <w:pPr>
        <w:spacing w:after="0" w:before="0"/>
      </w:pPr>
      <w:r>
        <w:t xml:space="preserve"/>
      </w:r>
    </w:p>
    <w:p>
      <w:pPr>
        <w:pStyle w:val="Heading2"/>
        <w:spacing w:after="120" w:before="340"/>
      </w:pPr>
      <w:r>
        <w:rPr>
          <w:rFonts w:ascii="Calibri" w:cs="Calibri" w:eastAsia="Calibri" w:hAnsi="Calibri"/>
          <w:b/>
          <w:bCs/>
          <w:color w:val="0F3460"/>
          <w:sz w:val="27"/>
          <w:szCs w:val="27"/>
        </w:rPr>
        <w:t xml:space="preserve">6.5  Mobile Shell</w:t>
      </w:r>
    </w:p>
    <w:p>
      <w:pPr>
        <w:spacing w:after="80" w:before="60"/>
      </w:pPr>
      <w:r>
        <w:rPr>
          <w:rFonts w:ascii="Calibri" w:cs="Calibri" w:eastAsia="Calibri" w:hAnsi="Calibri"/>
          <w:b w:val="false"/>
          <w:bCs w:val="false"/>
          <w:i w:val="false"/>
          <w:iCs w:val="false"/>
          <w:color w:val="1A1A2E"/>
          <w:sz w:val="20"/>
          <w:szCs w:val="20"/>
        </w:rPr>
        <w:t xml:space="preserve">Render a stripped, touch-friendly shell for the /p/ routes (big targets, minimal nav) versus the full authoring shell on desktop. Same routes, conditional layout — not a separate build. Disable page-scroll hijack over any 3D canvas (touch-action: none).</w:t>
      </w:r>
    </w:p>
    <w:p>
      <w:r>
        <w:br w:type="page"/>
      </w:r>
    </w:p>
    <w:p>
      <w:pPr>
        <w:pStyle w:val="Heading1"/>
        <w:pBdr>
          <w:bottom w:val="single" w:color="00B4D8" w:sz="8" w:space="6"/>
        </w:pBdr>
        <w:spacing w:after="160" w:before="480"/>
      </w:pPr>
      <w:r>
        <w:rPr>
          <w:rFonts w:ascii="Calibri" w:cs="Calibri" w:eastAsia="Calibri" w:hAnsi="Calibri"/>
          <w:b/>
          <w:bCs/>
          <w:color w:val="16213E"/>
          <w:sz w:val="38"/>
          <w:szCs w:val="38"/>
        </w:rPr>
        <w:t xml:space="preserve">7. Part E — Cabinet View Reuse</w:t>
      </w:r>
    </w:p>
    <w:p>
      <w:pPr>
        <w:pBdr>
          <w:left w:val="single" w:color="16A34A" w:sz="12" w:space="8"/>
        </w:pBdr>
        <w:spacing w:after="80" w:before="60"/>
        <w:ind w:left="360"/>
      </w:pPr>
      <w:r>
        <w:rPr>
          <w:rFonts w:ascii="Calibri" w:cs="Calibri" w:eastAsia="Calibri" w:hAnsi="Calibri"/>
          <w:b/>
          <w:bCs/>
          <w:color w:val="16A34A"/>
          <w:sz w:val="18"/>
          <w:szCs w:val="18"/>
        </w:rPr>
        <w:t xml:space="preserve">✓  CONFIRMED FROM REPO: CabinetEditModal already has top / elevation / side / 3D views (ViewId type). The earlier note worried ortho views were missing — they exist. Cabinet3DView is already a standalone component with a highlighted boolean on parts. No rebuild needed.</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7.1  Approach</w:t>
      </w:r>
    </w:p>
    <w:p>
      <w:pPr>
        <w:pStyle w:val="ListParagraph"/>
        <w:numPr>
          <w:ilvl w:val="0"/>
          <w:numId w:val="2"/>
        </w:numPr>
        <w:spacing w:after="40" w:before="40"/>
      </w:pPr>
      <w:r>
        <w:rPr>
          <w:rFonts w:ascii="Calibri" w:cs="Calibri" w:eastAsia="Calibri" w:hAnsi="Calibri"/>
          <w:color w:val="1A1A2E"/>
          <w:sz w:val="19"/>
          <w:szCs w:val="19"/>
        </w:rPr>
        <w:t xml:space="preserve">The cabinet scan view renders Cabinet3DView with the same props the modal passes (cab, rp, materialColours, ebByMatId, customParts, partOverrides), with onUpdate / onDeletePart as no-ops for read-only.</w:t>
      </w:r>
    </w:p>
    <w:p>
      <w:pPr>
        <w:pStyle w:val="ListParagraph"/>
        <w:numPr>
          <w:ilvl w:val="0"/>
          <w:numId w:val="2"/>
        </w:numPr>
        <w:spacing w:after="40" w:before="40"/>
      </w:pPr>
      <w:r>
        <w:rPr>
          <w:rFonts w:ascii="Calibri" w:cs="Calibri" w:eastAsia="Calibri" w:hAnsi="Calibri"/>
          <w:color w:val="1A1A2E"/>
          <w:sz w:val="19"/>
          <w:szCs w:val="19"/>
        </w:rPr>
        <w:t xml:space="preserve">Highlight the scanned part by matching its source_table + source_part_id to the resolved-part mesh, tinted amber #F5A623, using the component's existing highlighted flag.</w:t>
      </w:r>
    </w:p>
    <w:p>
      <w:pPr>
        <w:pStyle w:val="ListParagraph"/>
        <w:numPr>
          <w:ilvl w:val="0"/>
          <w:numId w:val="2"/>
        </w:numPr>
        <w:spacing w:after="40" w:before="40"/>
      </w:pPr>
      <w:r>
        <w:rPr>
          <w:rFonts w:ascii="Calibri" w:cs="Calibri" w:eastAsia="Calibri" w:hAnsi="Calibri"/>
          <w:color w:val="1A1A2E"/>
          <w:sz w:val="19"/>
          <w:szCs w:val="19"/>
        </w:rPr>
        <w:t xml:space="preserve">Controls: the repo uses drei OrbitControls (v10.7.7) in Room3DScene and PartViewer. Configure touch gestures: one-finger orbit (3D only), pinch/wheel zoom, two-finger pan, double-tap reset/frame-to-fit. Derive zoom limits from the cabinet bounding box, not fixed numbers.</w:t>
      </w:r>
    </w:p>
    <w:p>
      <w:pPr>
        <w:pStyle w:val="ListParagraph"/>
        <w:numPr>
          <w:ilvl w:val="0"/>
          <w:numId w:val="2"/>
        </w:numPr>
        <w:spacing w:after="40" w:before="40"/>
      </w:pPr>
      <w:r>
        <w:rPr>
          <w:rFonts w:ascii="Calibri" w:cs="Calibri" w:eastAsia="Calibri" w:hAnsi="Calibri"/>
          <w:color w:val="1A1A2E"/>
          <w:sz w:val="19"/>
          <w:szCs w:val="19"/>
        </w:rPr>
        <w:t xml:space="preserve">Read-only: no edit gizmos/handles, no mutation.</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7.2  Loading Cabinet Data Anonymously</w:t>
      </w:r>
    </w:p>
    <w:p>
      <w:pPr>
        <w:spacing w:after="80" w:before="60"/>
      </w:pPr>
      <w:r>
        <w:rPr>
          <w:rFonts w:ascii="Calibri" w:cs="Calibri" w:eastAsia="Calibri" w:hAnsi="Calibri"/>
          <w:b w:val="false"/>
          <w:bCs w:val="false"/>
          <w:i w:val="false"/>
          <w:iCs w:val="false"/>
          <w:color w:val="1A1A2E"/>
          <w:sz w:val="20"/>
          <w:szCs w:val="20"/>
        </w:rPr>
        <w:t xml:space="preserve">The cabinet 3D view needs the full resolved cabinet, not just the one part. Extend the public access path with a second SECURITY DEFINER function — resolve_scanned_cabinet(token) — that returns the resolved cabinet payload the viewer needs (all parts for that cabinet_instance), again gated only by the token. Keep it read-only and minimal.</w:t>
      </w:r>
    </w:p>
    <w:p>
      <w:pPr>
        <w:pBdr>
          <w:left w:val="single" w:color="00B4D8" w:sz="12" w:space="8"/>
        </w:pBdr>
        <w:spacing w:after="80" w:before="60"/>
        <w:ind w:left="360"/>
      </w:pPr>
      <w:r>
        <w:rPr>
          <w:rFonts w:ascii="Calibri" w:cs="Calibri" w:eastAsia="Calibri" w:hAnsi="Calibri"/>
          <w:i/>
          <w:iCs/>
          <w:color w:val="64748B"/>
          <w:sz w:val="18"/>
          <w:szCs w:val="18"/>
        </w:rPr>
        <w:t xml:space="preserve">⚑  The desktop authoring app builds the resolved cabinet (rp) via its existing resolver. For the public route, the function returns the same shape the resolver produces, or enough of it for Cabinet3DView to render. Confirm the resolved-part shape Cabinet3DView expects and mirror it.</w:t>
      </w:r>
    </w:p>
    <w:p>
      <w:r>
        <w:br w:type="page"/>
      </w:r>
    </w:p>
    <w:p>
      <w:pPr>
        <w:pStyle w:val="Heading1"/>
        <w:pBdr>
          <w:bottom w:val="single" w:color="00B4D8" w:sz="8" w:space="6"/>
        </w:pBdr>
        <w:spacing w:after="160" w:before="480"/>
      </w:pPr>
      <w:r>
        <w:rPr>
          <w:rFonts w:ascii="Calibri" w:cs="Calibri" w:eastAsia="Calibri" w:hAnsi="Calibri"/>
          <w:b/>
          <w:bCs/>
          <w:color w:val="16213E"/>
          <w:sz w:val="38"/>
          <w:szCs w:val="38"/>
        </w:rPr>
        <w:t xml:space="preserve">8. Implementation Notes for Claude Code</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8.1  Read First</w:t>
      </w:r>
    </w:p>
    <w:p>
      <w:pPr>
        <w:pStyle w:val="ListParagraph"/>
        <w:numPr>
          <w:ilvl w:val="0"/>
          <w:numId w:val="2"/>
        </w:numPr>
        <w:spacing w:after="40" w:before="40"/>
      </w:pPr>
      <w:r>
        <w:rPr>
          <w:rFonts w:ascii="Calibri" w:cs="Calibri" w:eastAsia="Calibri" w:hAnsi="Calibri"/>
          <w:color w:val="1A1A2E"/>
          <w:sz w:val="19"/>
          <w:szCs w:val="19"/>
        </w:rPr>
        <w:t xml:space="preserve">AGENTS.md — Next.js 16.2.6 breaking changes; read node_modules/next/dist/docs/ before routing/page work.</w:t>
      </w:r>
    </w:p>
    <w:p>
      <w:pPr>
        <w:pStyle w:val="ListParagraph"/>
        <w:numPr>
          <w:ilvl w:val="0"/>
          <w:numId w:val="2"/>
        </w:numPr>
        <w:spacing w:after="40" w:before="40"/>
      </w:pPr>
      <w:r>
        <w:rPr>
          <w:rFonts w:ascii="Calibri" w:cs="Calibri" w:eastAsia="Calibri" w:hAnsi="Calibri"/>
          <w:color w:val="1A1A2E"/>
          <w:sz w:val="19"/>
          <w:szCs w:val="19"/>
        </w:rPr>
        <w:t xml:space="preserve">proxy.ts — the auth gate. This is where the public exemption goes.</w:t>
      </w:r>
    </w:p>
    <w:p>
      <w:pPr>
        <w:pStyle w:val="ListParagraph"/>
        <w:numPr>
          <w:ilvl w:val="0"/>
          <w:numId w:val="2"/>
        </w:numPr>
        <w:spacing w:after="40" w:before="40"/>
      </w:pPr>
      <w:r>
        <w:rPr>
          <w:rFonts w:ascii="Calibri" w:cs="Calibri" w:eastAsia="Calibri" w:hAnsi="Calibri"/>
          <w:color w:val="1A1A2E"/>
          <w:sz w:val="19"/>
          <w:szCs w:val="19"/>
        </w:rPr>
        <w:t xml:space="preserve">src/lib/supabase-server.ts — server client pattern.</w:t>
      </w:r>
    </w:p>
    <w:p>
      <w:pPr>
        <w:pStyle w:val="ListParagraph"/>
        <w:numPr>
          <w:ilvl w:val="0"/>
          <w:numId w:val="2"/>
        </w:numPr>
        <w:spacing w:after="40" w:before="40"/>
      </w:pPr>
      <w:r>
        <w:rPr>
          <w:rFonts w:ascii="Calibri" w:cs="Calibri" w:eastAsia="Calibri" w:hAnsi="Calibri"/>
          <w:color w:val="1A1A2E"/>
          <w:sz w:val="19"/>
          <w:szCs w:val="19"/>
        </w:rPr>
        <w:t xml:space="preserve">app/canvas/[roomId]/Cabinet3DView.tsx — reused for the cabinet scan view; note its props and the highlighted flag.</w:t>
      </w:r>
    </w:p>
    <w:p>
      <w:pPr>
        <w:pStyle w:val="ListParagraph"/>
        <w:numPr>
          <w:ilvl w:val="0"/>
          <w:numId w:val="2"/>
        </w:numPr>
        <w:spacing w:after="40" w:before="40"/>
      </w:pPr>
      <w:r>
        <w:rPr>
          <w:rFonts w:ascii="Calibri" w:cs="Calibri" w:eastAsia="Calibri" w:hAnsi="Calibri"/>
          <w:color w:val="1A1A2E"/>
          <w:sz w:val="19"/>
          <w:szCs w:val="19"/>
        </w:rPr>
        <w:t xml:space="preserve">app/canvas/[roomId]/Room3DScene.tsx and src/components/three/PartViewer.tsx — existing drei OrbitControls config to mirror for touch.</w:t>
      </w:r>
    </w:p>
    <w:p>
      <w:pPr>
        <w:pStyle w:val="ListParagraph"/>
        <w:numPr>
          <w:ilvl w:val="0"/>
          <w:numId w:val="2"/>
        </w:numPr>
        <w:spacing w:after="40" w:before="40"/>
      </w:pPr>
      <w:r>
        <w:rPr>
          <w:rFonts w:ascii="Calibri" w:cs="Calibri" w:eastAsia="Calibri" w:hAnsi="Calibri"/>
          <w:color w:val="1A1A2E"/>
          <w:sz w:val="19"/>
          <w:szCs w:val="19"/>
        </w:rPr>
        <w:t xml:space="preserve">app/projects/[projectId]/optimiser/ — OptimiserClient, Stage5Edit, Stage6Gcode; where label printing and oversize handling attach.</w:t>
      </w:r>
    </w:p>
    <w:p>
      <w:pPr>
        <w:pStyle w:val="ListParagraph"/>
        <w:numPr>
          <w:ilvl w:val="0"/>
          <w:numId w:val="2"/>
        </w:numPr>
        <w:spacing w:after="40" w:before="40"/>
      </w:pPr>
      <w:r>
        <w:rPr>
          <w:rFonts w:ascii="Calibri" w:cs="Calibri" w:eastAsia="Calibri" w:hAnsi="Calibri"/>
          <w:color w:val="1A1A2E"/>
          <w:sz w:val="19"/>
          <w:szCs w:val="19"/>
        </w:rPr>
        <w:t xml:space="preserve">Existing jsPDF + svg2pdf.js usage for PDF generation patterns.</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8.2  Critical Constraints</w:t>
      </w:r>
    </w:p>
    <w:p>
      <w:pPr>
        <w:pBdr>
          <w:left w:val="single" w:color="DC2626" w:sz="12" w:space="8"/>
        </w:pBdr>
        <w:spacing w:after="80" w:before="60"/>
        <w:ind w:left="360"/>
      </w:pPr>
      <w:r>
        <w:rPr>
          <w:rFonts w:ascii="Calibri" w:cs="Calibri" w:eastAsia="Calibri" w:hAnsi="Calibri"/>
          <w:b/>
          <w:bCs/>
          <w:color w:val="DC2626"/>
          <w:sz w:val="18"/>
          <w:szCs w:val="18"/>
        </w:rPr>
        <w:t xml:space="preserve">✖  The /p/ scan route MUST be public via proxy.ts exemption, or scanning bounces to login.</w:t>
      </w:r>
    </w:p>
    <w:p>
      <w:pPr>
        <w:pBdr>
          <w:left w:val="single" w:color="DC2626" w:sz="12" w:space="8"/>
        </w:pBdr>
        <w:spacing w:after="80" w:before="60"/>
        <w:ind w:left="360"/>
      </w:pPr>
      <w:r>
        <w:rPr>
          <w:rFonts w:ascii="Calibri" w:cs="Calibri" w:eastAsia="Calibri" w:hAnsi="Calibri"/>
          <w:b/>
          <w:bCs/>
          <w:color w:val="DC2626"/>
          <w:sz w:val="18"/>
          <w:szCs w:val="18"/>
        </w:rPr>
        <w:t xml:space="preserve">✖  Anonymous data access ONLY via SECURITY DEFINER functions returning a single token-scoped bundle. Never grant table reads to anon.</w:t>
      </w:r>
    </w:p>
    <w:p>
      <w:pPr>
        <w:pBdr>
          <w:left w:val="single" w:color="DC2626" w:sz="12" w:space="8"/>
        </w:pBdr>
        <w:spacing w:after="80" w:before="60"/>
        <w:ind w:left="360"/>
      </w:pPr>
      <w:r>
        <w:rPr>
          <w:rFonts w:ascii="Calibri" w:cs="Calibri" w:eastAsia="Calibri" w:hAnsi="Calibri"/>
          <w:b/>
          <w:bCs/>
          <w:color w:val="DC2626"/>
          <w:sz w:val="18"/>
          <w:szCs w:val="18"/>
        </w:rPr>
        <w:t xml:space="preserve">✖  Oversize is relative to the current sheet set — re-evaluate on every sheet change. Oversize parts are labelled but never nested or dropped onto a non-fitting sheet.</w:t>
      </w:r>
    </w:p>
    <w:p>
      <w:pPr>
        <w:pBdr>
          <w:left w:val="single" w:color="DC2626" w:sz="12" w:space="8"/>
        </w:pBdr>
        <w:spacing w:after="80" w:before="60"/>
        <w:ind w:left="360"/>
      </w:pPr>
      <w:r>
        <w:rPr>
          <w:rFonts w:ascii="Calibri" w:cs="Calibri" w:eastAsia="Calibri" w:hAnsi="Calibri"/>
          <w:b/>
          <w:bCs/>
          <w:color w:val="DC2626"/>
          <w:sz w:val="18"/>
          <w:szCs w:val="18"/>
        </w:rPr>
        <w:t xml:space="preserve">✖  Do not rebuild Cabinet3DView or the ortho views — reuse them read-only.</w:t>
      </w:r>
    </w:p>
    <w:p>
      <w:pPr>
        <w:pBdr>
          <w:left w:val="single" w:color="DC2626" w:sz="12" w:space="8"/>
        </w:pBdr>
        <w:spacing w:after="80" w:before="60"/>
        <w:ind w:left="360"/>
      </w:pPr>
      <w:r>
        <w:rPr>
          <w:rFonts w:ascii="Calibri" w:cs="Calibri" w:eastAsia="Calibri" w:hAnsi="Calibri"/>
          <w:b/>
          <w:bCs/>
          <w:color w:val="DC2626"/>
          <w:sz w:val="18"/>
          <w:szCs w:val="18"/>
        </w:rPr>
        <w:t xml:space="preserve">✖  Use a token (8-char base32), not the raw UUID, in the QR URL.</w:t>
      </w:r>
    </w:p>
    <w:p>
      <w:pPr>
        <w:pBdr>
          <w:left w:val="single" w:color="DC2626" w:sz="12" w:space="8"/>
        </w:pBdr>
        <w:spacing w:after="80" w:before="60"/>
        <w:ind w:left="360"/>
      </w:pPr>
      <w:r>
        <w:rPr>
          <w:rFonts w:ascii="Calibri" w:cs="Calibri" w:eastAsia="Calibri" w:hAnsi="Calibri"/>
          <w:b/>
          <w:bCs/>
          <w:color w:val="DC2626"/>
          <w:sz w:val="18"/>
          <w:szCs w:val="18"/>
        </w:rPr>
        <w:t xml:space="preserve">✖  No localStorage/sessionStorage; canvas rendering stays SVG/drei as already used.</w:t>
      </w:r>
    </w:p>
    <w:p>
      <w:pPr>
        <w:spacing w:after="0" w:before="0"/>
      </w:pPr>
      <w:r>
        <w:t xml:space="preserve"/>
      </w:r>
    </w:p>
    <w:p>
      <w:pPr>
        <w:pStyle w:val="Heading2"/>
        <w:spacing w:after="120" w:before="340"/>
      </w:pPr>
      <w:r>
        <w:rPr>
          <w:rFonts w:ascii="Calibri" w:cs="Calibri" w:eastAsia="Calibri" w:hAnsi="Calibri"/>
          <w:b/>
          <w:bCs/>
          <w:color w:val="0F3460"/>
          <w:sz w:val="27"/>
          <w:szCs w:val="27"/>
        </w:rPr>
        <w:t xml:space="preserve">8.3  Build Sequence with Check-in 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1</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label_presets table migration + seed the 48×102 default. CHECK IN.</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2</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Label Presets settings UI (CRUD + live preview). CHECK IN.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3</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nest_placements additions: public_token (unique, generated), is_manual_cut, oversize_reason; make nest_sheet_id nullable. Backfill tokens for any existing placements. CHECK IN.</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4</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Oversize detection in the optimiser — flag, reason note, red UI, drop rejection, live re-evaluation on sheet changes, manual-cut placement records. CHECK IN.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5</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Install qrcode. Label PDF generation (dynamic preset sizing, QR, fields, MANUAL CUT indicator). Print entry points in the optimiser. CHECK IN.</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6</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resolve_scanned_part SECURITY DEFINER function + anon EXECUTE grant. Test it returns a correct bundle by token and nothing else. CHECK IN.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7</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proxy.ts public exemption for /p/. Public /p/[token] options menu + /p/[token]/spec. Mobile shell. CHECK IN.</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8</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resolve_scanned_cabinet function + /p/[token]/cabinet reusing Cabinet3DView read-only with touch controls and amber highlight. CHECK IN.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9</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/p/[token]/room (lower priority) reusing Room3DScene with this cabinet highlighted. CHECK IN.</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10</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End-to-end test: run a nest with an oversize part, print labels (nested + manual-cut), scan on a phone (not logged in), verify options menu → spec → cabinet highlight. CHECK IN.</w:t>
            </w:r>
          </w:p>
        </w:tc>
      </w:tr>
    </w:tbl>
    <w:p>
      <w:pPr>
        <w:spacing w:after="0" w:before="0"/>
      </w:pPr>
      <w:r>
        <w:t xml:space="preserve"/>
      </w:r>
    </w:p>
    <w:p>
      <w:pPr>
        <w:pStyle w:val="Heading2"/>
        <w:spacing w:after="120" w:before="340"/>
      </w:pPr>
      <w:r>
        <w:rPr>
          <w:rFonts w:ascii="Calibri" w:cs="Calibri" w:eastAsia="Calibri" w:hAnsi="Calibri"/>
          <w:b/>
          <w:bCs/>
          <w:color w:val="0F3460"/>
          <w:sz w:val="27"/>
          <w:szCs w:val="27"/>
        </w:rPr>
        <w:t xml:space="preserve">8.4  Token Generation</w:t>
      </w:r>
    </w:p>
    <w:p>
      <w:pPr>
        <w:spacing w:after="80" w:before="60"/>
      </w:pPr>
      <w:r>
        <w:rPr>
          <w:rFonts w:ascii="Calibri" w:cs="Calibri" w:eastAsia="Calibri" w:hAnsi="Calibri"/>
          <w:b w:val="false"/>
          <w:bCs w:val="false"/>
          <w:i w:val="false"/>
          <w:iCs w:val="false"/>
          <w:color w:val="1A1A2E"/>
          <w:sz w:val="20"/>
          <w:szCs w:val="20"/>
        </w:rPr>
        <w:t xml:space="preserve">Generate public_token as 8 characters from a base32 alphabet excluding ambiguous characters (no 0, O, 1, I, L). ~32^8 ≈ 1 trillion combinations — collision-free at this scale. Generate on placement insert; enforce a unique index and retry on the rare collision.</w:t>
      </w:r>
    </w:p>
    <w:p>
      <w:pPr>
        <w:spacing w:after="0" w:before="0"/>
      </w:pPr>
      <w:r>
        <w:t xml:space="preserve"/>
      </w:r>
    </w:p>
    <w:p>
      <w:pPr>
        <w:pBdr>
          <w:bottom w:val="single" w:color="E2E8F0" w:sz="4" w:space="1"/>
        </w:pBdr>
        <w:spacing w:after="200" w:before="200"/>
      </w:pPr>
      <w:r>
        <w:t xml:space="preserve"/>
      </w:r>
    </w:p>
    <w:p>
      <w:pPr>
        <w:jc w:val="center"/>
      </w:pPr>
      <w:r>
        <w:rPr>
          <w:rFonts w:ascii="Calibri" w:cs="Calibri" w:eastAsia="Calibri" w:hAnsi="Calibri"/>
          <w:i/>
          <w:iCs/>
          <w:color w:val="64748B"/>
          <w:sz w:val="18"/>
          <w:szCs w:val="18"/>
        </w:rPr>
        <w:t xml:space="preserve">End of Specification · Part Labels, QR Codes &amp; Mobile Scan Flow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6213E"/>
      <w:sz w:val="38"/>
      <w:szCs w:val="38"/>
    </w:rPr>
  </w:style>
  <w:style w:type="paragraph" w:styleId="Heading2">
    <w:name w:val="Heading 2"/>
    <w:basedOn w:val="Normal"/>
    <w:next w:val="Normal"/>
    <w:qFormat/>
    <w:pPr>
      <w:spacing w:after="120" w:before="340"/>
      <w:outlineLvl w:val="1"/>
    </w:pPr>
    <w:rPr>
      <w:rFonts w:ascii="Calibri" w:cs="Calibri" w:eastAsia="Calibri" w:hAnsi="Calibri"/>
      <w:b/>
      <w:bCs/>
      <w:color w:val="0F3460"/>
      <w:sz w:val="27"/>
      <w:szCs w:val="27"/>
    </w:rPr>
  </w:style>
  <w:style w:type="paragraph" w:styleId="Heading3">
    <w:name w:val="Heading 3"/>
    <w:basedOn w:val="Normal"/>
    <w:next w:val="Normal"/>
    <w:qFormat/>
    <w:pPr>
      <w:spacing w:after="80" w:before="220"/>
      <w:outlineLvl w:val="2"/>
    </w:pPr>
    <w:rPr>
      <w:rFonts w:ascii="Calibri" w:cs="Calibri" w:eastAsia="Calibri" w:hAnsi="Calibri"/>
      <w:b/>
      <w:bCs/>
      <w:color w:val="00B4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2026-06-15T09:00:56.052Z</dcterms:created>
  <dcterms:modified xsi:type="dcterms:W3CDTF">2026-06-15T09:00:56.064Z</dcterms:modified>
</cp:coreProperties>
</file>

<file path=docProps/custom.xml><?xml version="1.0" encoding="utf-8"?>
<Properties xmlns="http://schemas.openxmlformats.org/officeDocument/2006/custom-properties" xmlns:vt="http://schemas.openxmlformats.org/officeDocument/2006/docPropsVTypes"/>
</file>