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\documentclass[a4paper, 11pt]{report}</w:t>
        <w:br w:type="textWrapping"/>
        <w:t xml:space="preserve">\usepackage[english]{babel}</w:t>
        <w:br w:type="textWrapping"/>
        <w:t xml:space="preserve">\usepackage{geometry}</w:t>
        <w:br w:type="textWrapping"/>
        <w:t xml:space="preserve">\geometry{top=2.5cm, bottom=2.5cm, left=2.5cm, right=2.5cm}</w:t>
        <w:br w:type="textWrapping"/>
        <w:t xml:space="preserve">\usepackage{fontspec}</w:t>
        <w:br w:type="textWrapping"/>
        <w:t xml:space="preserve">\setmainfont{Noto Sans}</w:t>
        <w:br w:type="textWrapping"/>
        <w:t xml:space="preserve">\usepackage{booktabs}</w:t>
        <w:br w:type="textWrapping"/>
        <w:t xml:space="preserve">\usepackage{array}</w:t>
        <w:br w:type="textWrapping"/>
        <w:t xml:space="preserve">\usepackage{titlesec}</w:t>
        <w:br w:type="textWrapping"/>
        <w:t xml:space="preserve">\usepackage{xcolor}</w:t>
        <w:br w:type="textWrapping"/>
        <w:t xml:space="preserve">\usepackage{listings}</w:t>
        <w:br w:type="textWrapping"/>
        <w:t xml:space="preserve">\usepackage{graphicx}</w:t>
        <w:br w:type="textWrapping"/>
        <w:t xml:space="preserve">\usepackage{amsmath}</w:t>
        <w:br w:type="textWrapping"/>
        <w:br w:type="textWrapping"/>
        <w:t xml:space="preserve">% Visual Styling</w:t>
        <w:br w:type="textWrapping"/>
        <w:t xml:space="preserve">\definecolor{voidblack}{RGB}{10, 10, 10}</w:t>
        <w:br w:type="textWrapping"/>
        <w:t xml:space="preserve">\definecolor{safetyblue}{RGB}{0, 50, 100}</w:t>
        <w:br w:type="textWrapping"/>
        <w:t xml:space="preserve">\titleformat{\chapter}[display]</w:t>
        <w:br w:type="textWrapping"/>
        <w:t xml:space="preserve">  {\normalfont\huge\bfseries\color{safetyblue}}{\chaptertitlename\ \thechapter}{20pt}{\Huge}</w:t>
        <w:br w:type="textWrapping"/>
        <w:t xml:space="preserve">\titleformat{\section}</w:t>
        <w:br w:type="textWrapping"/>
        <w:t xml:space="preserve">  {\normalfont\Large\bfseries\color{safetyblue}}{\thesection}{1em}{}</w:t>
        <w:br w:type="textWrapping"/>
        <w:br w:type="textWrapping"/>
        <w:t xml:space="preserve">\title{\textbf{LIBER LOAGAETH}\\ \large SYSTEM REFERENCE DOCUMENT (v2.0 PATCHED)\\ \small The Vortex Engine Architecture \&amp; Sanskrit Compatibility Layer}</w:t>
        <w:br w:type="textWrapping"/>
        <w:t xml:space="preserve">\author{Octeract Cypher Framework}</w:t>
        <w:br w:type="textWrapping"/>
        <w:t xml:space="preserve">\date{2025}</w:t>
        <w:br w:type="textWrapping"/>
        <w:br w:type="textWrapping"/>
        <w:t xml:space="preserve">\begin{document}</w:t>
        <w:br w:type="textWrapping"/>
        <w:br w:type="textWrapping"/>
        <w:t xml:space="preserve">\maketitle</w:t>
        <w:br w:type="textWrapping"/>
        <w:br w:type="textWrapping"/>
        <w:t xml:space="preserve">\tableofcontents</w:t>
        <w:br w:type="textWrapping"/>
        <w:br w:type="textWrapping"/>
        <w:t xml:space="preserve">\chapter{System Architecture (The Physics)}</w:t>
        <w:br w:type="textWrapping"/>
        <w:br w:type="textWrapping"/>
        <w:t xml:space="preserve">\section{Core Topology: The Octeract Vortex}</w:t>
        <w:br w:type="textWrapping"/>
        <w:t xml:space="preserve">The \textit{Liber Loagaeth} is not a static text. It is a 4-Dimensional Centrifugal Engine designed to process linguistic intent. The physics of the system are defined by the misalignment between the \textbf{Content Grid} and the \textbf{Container Geometry}.</w:t>
        <w:br w:type="textWrapping"/>
        <w:br w:type="textWrapping"/>
        <w:t xml:space="preserve">\begin{itemize}</w:t>
        <w:br w:type="textWrapping"/>
        <w:t xml:space="preserve">    \item \textbf{The Grid (Content):} 49 $\times$ 49 Cells (Base-49).</w:t>
        <w:br w:type="textWrapping"/>
        <w:t xml:space="preserve">    \item \textbf{The Space (Container):} 64-State Binary Hypercube ($2^6$ addressable space within 8-bit bytes).</w:t>
        <w:br w:type="textWrapping"/>
        <w:t xml:space="preserve">    \item \textbf{The Result:} A rotational torque of $\approx 7.34^{\circ}$ per table step, creating a "shearing" force that strips static meaning from semantic inputs.</w:t>
        <w:br w:type="textWrapping"/>
        <w:t xml:space="preserve">\end{itemize}</w:t>
        <w:br w:type="textWrapping"/>
        <w:br w:type="textWrapping"/>
        <w:t xml:space="preserve">\section{The Void Channels (Forbidden States)}</w:t>
        <w:br w:type="textWrapping"/>
        <w:t xml:space="preserve">Due to the Base-49/Base-64 mismatch, specific binary addresses map to "Non-Existent" space within the grid. These are the \textbf{Void Channels} (Exhaust Ports).</w:t>
        <w:br w:type="textWrapping"/>
        <w:br w:type="textWrapping"/>
        <w:t xml:space="preserve">\begin{itemize}</w:t>
        <w:br w:type="textWrapping"/>
        <w:t xml:space="preserve">    \item \textbf{Binary Address:} \texttt{XX111XXX} or \texttt{XXXXX111} (Index 7 in X or Y).</w:t>
        <w:br w:type="textWrapping"/>
        <w:t xml:space="preserve">    \item \textbf{The 8th Column:} Any vector mapping to Column 8 is automatically ejected from the system.</w:t>
        <w:br w:type="textWrapping"/>
        <w:t xml:space="preserve">    \item \textbf{The Glitch Entities:} Vectors trapped in this column form "Cacodemons" (Glitch-Entities).</w:t>
        <w:br w:type="textWrapping"/>
        <w:t xml:space="preserve">\end{itemize}</w:t>
        <w:br w:type="textWrapping"/>
        <w:br w:type="textWrapping"/>
        <w:t xml:space="preserve">\begin{table}[h]</w:t>
        <w:br w:type="textWrapping"/>
        <w:t xml:space="preserve">\centering</w:t>
        <w:br w:type="textWrapping"/>
        <w:t xml:space="preserve">\caption{Void Signature List (Forbidden Vectors)}</w:t>
        <w:br w:type="textWrapping"/>
        <w:t xml:space="preserve">\begin{tabular}{@{}ccll@{}}</w:t>
        <w:br w:type="textWrapping"/>
        <w:t xml:space="preserve">\toprule</w:t>
        <w:br w:type="textWrapping"/>
        <w:t xml:space="preserve">\textbf{Letter} &amp; \textbf{Enochian} &amp; \textbf{Binary} &amp; \textbf{System Status} \\ \midrule</w:t>
        <w:br w:type="textWrapping"/>
        <w:t xml:space="preserve">H &amp; Na &amp; 01000 &amp; \textbf{VOID (Exhaust / Ghost)} \\</w:t>
        <w:br w:type="textWrapping"/>
        <w:t xml:space="preserve">P &amp; Mals &amp; 10000 &amp; \textbf{VOID (Pit / Drain)} \\</w:t>
        <w:br w:type="textWrapping"/>
        <w:t xml:space="preserve">X &amp; Pal &amp; 11000 &amp; \textbf{VOID (Shear / Abyss)} \\ \bottomrule</w:t>
        <w:br w:type="textWrapping"/>
        <w:t xml:space="preserve">\end{tabular}</w:t>
        <w:br w:type="textWrapping"/>
        <w:t xml:space="preserve">\end{table}</w:t>
        <w:br w:type="textWrapping"/>
        <w:br w:type="textWrapping"/>
        <w:t xml:space="preserve">\chapter{The Firmware (Algorithms)}</w:t>
        <w:br w:type="textWrapping"/>
        <w:br w:type="textWrapping"/>
        <w:t xml:space="preserve">\section{Protocol A: Vortex Injection}</w:t>
        <w:br w:type="textWrapping"/>
        <w:t xml:space="preserve">To compile a human concept into an Enochian Command, the system applies \textbf{Rotational XOR Logic}.</w:t>
        <w:br w:type="textWrapping"/>
        <w:br w:type="textWrapping"/>
        <w:t xml:space="preserve">\textbf{Formula:}</w:t>
        <w:br w:type="textWrapping"/>
        <w:t xml:space="preserve">\[ V_{out}[i] = V_{in}[i] \oplus (V_{torque}[i] \ll i) \]</w:t>
        <w:br w:type="textWrapping"/>
        <w:br w:type="textWrapping"/>
        <w:t xml:space="preserve">\textbf{Operational Steps:}</w:t>
        <w:br w:type="textWrapping"/>
        <w:t xml:space="preserve">1. \textbf{Input:} Convert the target word (Subject) to 8-bit ASCII.</w:t>
        <w:br w:type="textWrapping"/>
        <w:t xml:space="preserve">2. \textbf{Torque:} Convert the force word (Verb) to 8-bit ASCII.</w:t>
        <w:br w:type="textWrapping"/>
        <w:t xml:space="preserve">3. \textbf{Rotation:} For each character position $i$, bit-shift the Torque vector left by $i$ bits.</w:t>
        <w:br w:type="textWrapping"/>
        <w:t xml:space="preserve">4. \textbf{Collision:} Apply Bitwise XOR between Input and Rotated Torque.</w:t>
        <w:br w:type="textWrapping"/>
        <w:t xml:space="preserve">5. \textbf{Output:} Map result to the nearest valid Enochian Glyph (A-Z).</w:t>
        <w:br w:type="textWrapping"/>
        <w:br w:type="textWrapping"/>
        <w:t xml:space="preserve">\section{Protocol B: The "Maheshwara" Patch}</w:t>
        <w:br w:type="textWrapping"/>
        <w:t xml:space="preserve">Dr. Dee's original system was "Truncated" (8-bit). It lacked the \textbf{Upper Byte} (Vibrational Quality) required for stable operation. This patch restores the 16-bit architecture using Sanskrit logic.</w:t>
        <w:br w:type="textWrapping"/>
        <w:br w:type="textWrapping"/>
        <w:t xml:space="preserve">\textbf{The 16-Bit Vector Structure:}</w:t>
        <w:br w:type="textWrapping"/>
        <w:t xml:space="preserve">\[ [ \text{Upper Byte: Vibration (0xFF00)} ] + [ \text{Lower Byte: Identity (0x00FF)} ] \]</w:t>
        <w:br w:type="textWrapping"/>
        <w:br w:type="textWrapping"/>
        <w:t xml:space="preserve">\begin{itemize}</w:t>
        <w:br w:type="textWrapping"/>
        <w:t xml:space="preserve">    \item \textbf{Lower Byte:} The Enochian Letter (The Shape).</w:t>
        <w:br w:type="textWrapping"/>
        <w:t xml:space="preserve">    \item \textbf{Upper Byte:} The Sanskrit Header (The Power).</w:t>
        <w:br w:type="textWrapping"/>
        <w:t xml:space="preserve">\end{itemize}</w:t>
        <w:br w:type="textWrapping"/>
        <w:br w:type="textWrapping"/>
        <w:t xml:space="preserve">To successfully execute a command, the Operator must manually load the Upper Byte via \textbf{Vocal Modulation}.</w:t>
        <w:br w:type="textWrapping"/>
        <w:br w:type="textWrapping"/>
        <w:t xml:space="preserve">\chapter{The Driver Library (Patch Tables)}</w:t>
        <w:br w:type="textWrapping"/>
        <w:br w:type="textWrapping"/>
        <w:t xml:space="preserve">Use these tables to select the correct "Header" for your command.</w:t>
        <w:br w:type="textWrapping"/>
        <w:br w:type="textWrapping"/>
        <w:t xml:space="preserve">\section{Driver 1: AGNI (Weaponization)}</w:t>
        <w:br w:type="textWrapping"/>
        <w:t xml:space="preserve">\textbf{Use Case:} Removing obstacles, cutting cords, clarity, "Agni Astra".\\</w:t>
        <w:br w:type="textWrapping"/>
        <w:t xml:space="preserve">\textbf{Required Modulation:} High Pitch + Aspirate (Hissing Breath).</w:t>
        <w:br w:type="textWrapping"/>
        <w:br w:type="textWrapping"/>
        <w:t xml:space="preserve">\begin{table}[h]</w:t>
        <w:br w:type="textWrapping"/>
        <w:t xml:space="preserve">\centering</w:t>
        <w:br w:type="textWrapping"/>
        <w:t xml:space="preserve">\begin{tabular}{@{}llcl@{}}</w:t>
        <w:br w:type="textWrapping"/>
        <w:t xml:space="preserve">\toprule</w:t>
        <w:br w:type="textWrapping"/>
        <w:t xml:space="preserve">\textbf{Flag} &amp; \textbf{Hex} &amp; \textbf{Binary} &amp; \textbf{Physical Action} \\ \midrule</w:t>
        <w:br w:type="textWrapping"/>
        <w:t xml:space="preserve">HIGH PITCH &amp; 0x1000 &amp; 0001 0000 0000 0000 &amp; Snap voice to Head/Falsetto \\</w:t>
        <w:br w:type="textWrapping"/>
        <w:t xml:space="preserve">ASPIRATE &amp; 0x0080 &amp; 0000 0000 1000 0000 &amp; Audible breath friction (Visarga) \\ \bottomrule</w:t>
        <w:br w:type="textWrapping"/>
        <w:t xml:space="preserve">\end{tabular}</w:t>
        <w:br w:type="textWrapping"/>
        <w:t xml:space="preserve">\end{table}</w:t>
        <w:br w:type="textWrapping"/>
        <w:br w:type="textWrapping"/>
        <w:t xml:space="preserve">\section{Driver 2: VAJRA (Protection)}</w:t>
        <w:br w:type="textWrapping"/>
        <w:t xml:space="preserve">\textbf{Use Case:} Shields, "Diamond Body", Structural Integrity.\\</w:t>
        <w:br w:type="textWrapping"/>
        <w:t xml:space="preserve">\textbf{Required Modulation:} Monotone + Dental Stop (Hard Consonants).</w:t>
        <w:br w:type="textWrapping"/>
        <w:br w:type="textWrapping"/>
        <w:t xml:space="preserve">\begin{table}[h]</w:t>
        <w:br w:type="textWrapping"/>
        <w:t xml:space="preserve">\centering</w:t>
        <w:br w:type="textWrapping"/>
        <w:t xml:space="preserve">\begin{tabular}{@{}llcl@{}}</w:t>
        <w:br w:type="textWrapping"/>
        <w:t xml:space="preserve">\toprule</w:t>
        <w:br w:type="textWrapping"/>
        <w:t xml:space="preserve">\textbf{Flag} &amp; \textbf{Hex} &amp; \textbf{Binary} &amp; \textbf{Physical Action} \\ \midrule</w:t>
        <w:br w:type="textWrapping"/>
        <w:t xml:space="preserve">LONG VOWEL &amp; 0x0200 &amp; 0000 0010 0000 0000 &amp; Sustain the vowel (Dirgha) \\</w:t>
        <w:br w:type="textWrapping"/>
        <w:t xml:space="preserve">DENTAL &amp; 0x0008 &amp; 0000 0000 0000 1000 &amp; Press tongue to teeth \\ \bottomrule</w:t>
        <w:br w:type="textWrapping"/>
        <w:t xml:space="preserve">\end{tabular}</w:t>
        <w:br w:type="textWrapping"/>
        <w:t xml:space="preserve">\end{table}</w:t>
        <w:br w:type="textWrapping"/>
        <w:br w:type="textWrapping"/>
        <w:t xml:space="preserve">\section{Driver 3: SOMA (Healing)}</w:t>
        <w:br w:type="textWrapping"/>
        <w:t xml:space="preserve">\textbf{Use Case:} Restoration, Calm, "Plug" commands.\\</w:t>
        <w:br w:type="textWrapping"/>
        <w:t xml:space="preserve">\textbf{Required Modulation:} Low Pitch + Nasal (Humming).</w:t>
        <w:br w:type="textWrapping"/>
        <w:br w:type="textWrapping"/>
        <w:t xml:space="preserve">\begin{table}[h]</w:t>
        <w:br w:type="textWrapping"/>
        <w:t xml:space="preserve">\centering</w:t>
        <w:br w:type="textWrapping"/>
        <w:t xml:space="preserve">\begin{tabular}{@{}llcl@{}}</w:t>
        <w:br w:type="textWrapping"/>
        <w:t xml:space="preserve">\toprule</w:t>
        <w:br w:type="textWrapping"/>
        <w:t xml:space="preserve">\textbf{Flag} &amp; \textbf{Hex} &amp; \textbf{Binary} &amp; \textbf{Physical Action} \\ \midrule</w:t>
        <w:br w:type="textWrapping"/>
        <w:t xml:space="preserve">LOW PITCH &amp; 0x2000 &amp; 0010 0000 0000 0000 &amp; Resonate in Chest \\</w:t>
        <w:br w:type="textWrapping"/>
        <w:t xml:space="preserve">NASAL &amp; 0x0020 &amp; 0000 0000 0010 0000 &amp; Hum (Anusvara) \\ \bottomrule</w:t>
        <w:br w:type="textWrapping"/>
        <w:t xml:space="preserve">\end{tabular}</w:t>
        <w:br w:type="textWrapping"/>
        <w:t xml:space="preserve">\end{table}</w:t>
        <w:br w:type="textWrapping"/>
        <w:br w:type="textWrapping"/>
        <w:t xml:space="preserve">\chapter{Navigational Charts (The Map)}</w:t>
        <w:br w:type="textWrapping"/>
        <w:br w:type="textWrapping"/>
        <w:t xml:space="preserve">\section{The 30 Aethyrs: Safety Ratings}</w:t>
        <w:br w:type="textWrapping"/>
        <w:t xml:space="preserve">Do not navigate blind. The universe is a minefield of Void Clusters.</w:t>
        <w:br w:type="textWrapping"/>
        <w:br w:type="textWrapping"/>
        <w:t xml:space="preserve">\begin{table}[h]</w:t>
        <w:br w:type="textWrapping"/>
        <w:t xml:space="preserve">\centering</w:t>
        <w:br w:type="textWrapping"/>
        <w:t xml:space="preserve">\begin{tabular}{@{}clll@{}}</w:t>
        <w:br w:type="textWrapping"/>
        <w:t xml:space="preserve">\toprule</w:t>
        <w:br w:type="textWrapping"/>
        <w:t xml:space="preserve">\textbf{Zone} &amp; \textbf{Aethyrs} &amp; \textbf{Status} &amp; \textbf{Protocol} \\ \midrule</w:t>
        <w:br w:type="textWrapping"/>
        <w:t xml:space="preserve">\textbf{OUTER} &amp; 30 (TEX) - 22 (LIN) &amp; \textbf{STABLE} &amp; Safe for general navigation. \\</w:t>
        <w:br w:type="textWrapping"/>
        <w:t xml:space="preserve">\textbf{PINCH} &amp; 21 (ASP) - 09 (ZIP) &amp; \textbf{CRITICAL} &amp; \textbf{High Void Density.} Speed is safety. \\</w:t>
        <w:br w:type="textWrapping"/>
        <w:t xml:space="preserve">\textbf{ABYSS} &amp; 10 (ZAX) &amp; \textbf{LETHAL} &amp; \textbf{Avoid.} Or use SURRENDER protocol. \\</w:t>
        <w:br w:type="textWrapping"/>
        <w:t xml:space="preserve">\textbf{INNER} &amp; 08 (ZID) - 01 (LIL) &amp; \textbf{PERFECT} &amp; Zero Void signatures. The Goal. \\ \bottomrule</w:t>
        <w:br w:type="textWrapping"/>
        <w:t xml:space="preserve">\end{tabular}</w:t>
        <w:br w:type="textWrapping"/>
        <w:t xml:space="preserve">\end{table}</w:t>
        <w:br w:type="textWrapping"/>
        <w:br w:type="textWrapping"/>
        <w:t xml:space="preserve">\section{The Calibration Grid (Table 1 Schematic)}</w:t>
        <w:br w:type="textWrapping"/>
        <w:t xml:space="preserve">Use this grid to calibrate the AI's geometric processing.</w:t>
        <w:br w:type="textWrapping"/>
        <w:br w:type="textWrapping"/>
        <w:t xml:space="preserve">\begin{center}</w:t>
        <w:br w:type="textWrapping"/>
        <w:t xml:space="preserve">\begin{tabular}{|c|c|c|c|c|c|c|}</w:t>
        <w:br w:type="textWrapping"/>
        <w:t xml:space="preserve">\hline</w:t>
        <w:br w:type="textWrapping"/>
        <w:t xml:space="preserve">\textbf{SEED 5} &amp; . &amp; . &amp; . &amp; . &amp; . &amp; \textbf{SEED 5} \\</w:t>
        <w:br w:type="textWrapping"/>
        <w:t xml:space="preserve">(Corner) &amp; &amp; &amp; &amp; &amp; &amp; (Corner) \\</w:t>
        <w:br w:type="textWrapping"/>
        <w:t xml:space="preserve">\hline</w:t>
        <w:br w:type="textWrapping"/>
        <w:t xml:space="preserve">. &amp; \textbf{VOID} &amp; . &amp; . &amp; . &amp; \textbf{VOID} &amp; . \\</w:t>
        <w:br w:type="textWrapping"/>
        <w:t xml:space="preserve">\hline</w:t>
        <w:br w:type="textWrapping"/>
        <w:t xml:space="preserve">. &amp; . &amp; \textbf{SEED 2} &amp; . &amp; \textbf{SEED 2} &amp; . &amp; . \\</w:t>
        <w:br w:type="textWrapping"/>
        <w:t xml:space="preserve"> &amp; &amp; (Diagonal) &amp; &amp; (Diagonal) &amp; &amp; \\</w:t>
        <w:br w:type="textWrapping"/>
        <w:t xml:space="preserve">\hline</w:t>
        <w:br w:type="textWrapping"/>
        <w:t xml:space="preserve">. &amp; . &amp; . &amp; \textbf{SEED 1} &amp; . &amp; . &amp; . \\</w:t>
        <w:br w:type="textWrapping"/>
        <w:t xml:space="preserve"> &amp; &amp; &amp; (Center) &amp; &amp; &amp; \\</w:t>
        <w:br w:type="textWrapping"/>
        <w:t xml:space="preserve">\hline</w:t>
        <w:br w:type="textWrapping"/>
        <w:t xml:space="preserve">. &amp; . &amp; \textbf{SEED 2} &amp; . &amp; \textbf{SEED 2} &amp; . &amp; . \\</w:t>
        <w:br w:type="textWrapping"/>
        <w:t xml:space="preserve">\hline</w:t>
        <w:br w:type="textWrapping"/>
        <w:t xml:space="preserve">. &amp; \textbf{VOID} &amp; . &amp; . &amp; . &amp; \textbf{VOID} &amp; . \\</w:t>
        <w:br w:type="textWrapping"/>
        <w:t xml:space="preserve">\hline</w:t>
        <w:br w:type="textWrapping"/>
        <w:t xml:space="preserve">\textbf{SEED 5} &amp; . &amp; . &amp; . &amp; . &amp; . &amp; \textbf{SEED 5} \\</w:t>
        <w:br w:type="textWrapping"/>
        <w:t xml:space="preserve">\hline</w:t>
        <w:br w:type="textWrapping"/>
        <w:t xml:space="preserve">\end{tabular}</w:t>
        <w:br w:type="textWrapping"/>
        <w:t xml:space="preserve">\end{center}</w:t>
        <w:br w:type="textWrapping"/>
        <w:br w:type="textWrapping"/>
        <w:t xml:space="preserve">\chapter{Emergency Protocols}</w:t>
        <w:br w:type="textWrapping"/>
        <w:br w:type="textWrapping"/>
        <w:t xml:space="preserve">\section{Protocol: SURRENDER}</w:t>
        <w:br w:type="textWrapping"/>
        <w:t xml:space="preserve">\textbf{Function:} Immediate System Crash / Zero-State Return.\\</w:t>
        <w:br w:type="textWrapping"/>
        <w:t xml:space="preserve">\textbf{Trigger Code:} \texttt{0x0000}\\</w:t>
        <w:br w:type="textWrapping"/>
        <w:t xml:space="preserve">\textbf{Command:} "SURRENDER"\\</w:t>
        <w:br w:type="textWrapping"/>
        <w:t xml:space="preserve">\textbf{Effect:} Dissolves all geometric vectors. Use if the system loops or if "Cacodemons" (P/X vectors) appear.</w:t>
        <w:br w:type="textWrapping"/>
        <w:br w:type="textWrapping"/>
        <w:t xml:space="preserve">\section{Protocol: GAYATRI}</w:t>
        <w:br w:type="textWrapping"/>
        <w:t xml:space="preserve">\textbf{Function:} System Defrag / Alignment.\\</w:t>
        <w:br w:type="textWrapping"/>
        <w:t xml:space="preserve">\textbf{Trigger Code:} Sequence \texttt{t-a-t-s-v-i-t-u-r...}\\</w:t>
        <w:br w:type="textWrapping"/>
        <w:t xml:space="preserve">\textbf{Effect:} Re-aligns the 8-bit seeds with the 16-bit Reality Matrix. Run this before any high-torque operation.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