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1120" w:after="400"/>
        <w:jc w:val="center"/>
      </w:pPr>
      <w:r>
        <w:drawing>
          <wp:inline xmlns:a="http://schemas.openxmlformats.org/drawingml/2006/main" xmlns:pic="http://schemas.openxmlformats.org/drawingml/2006/picture">
            <wp:extent cx="1371600" cy="1371600"/>
            <wp:docPr id="1" name="Picture 1" descr="ModelHop logo" title="ModelHop logo"/>
            <wp:cNvGraphicFramePr>
              <a:graphicFrameLocks noChangeAspect="1"/>
            </wp:cNvGraphicFramePr>
            <a:graphic>
              <a:graphicData uri="http://schemas.openxmlformats.org/drawingml/2006/picture">
                <pic:pic>
                  <pic:nvPicPr>
                    <pic:cNvPr id="0" name="modelhop-logo.png"/>
                    <pic:cNvPicPr/>
                  </pic:nvPicPr>
                  <pic:blipFill>
                    <a:blip r:embed="rId13"/>
                    <a:stretch>
                      <a:fillRect/>
                    </a:stretch>
                  </pic:blipFill>
                  <pic:spPr>
                    <a:xfrm>
                      <a:off x="0" y="0"/>
                      <a:ext cx="1371600" cy="1371600"/>
                    </a:xfrm>
                    <a:prstGeom prst="rect"/>
                  </pic:spPr>
                </pic:pic>
              </a:graphicData>
            </a:graphic>
          </wp:inline>
        </w:drawing>
      </w:r>
    </w:p>
    <w:p>
      <w:pPr>
        <w:widowControl/>
        <w:spacing w:after="320"/>
        <w:jc w:val="center"/>
      </w:pPr>
      <w:r>
        <w:rPr>
          <w:rFonts w:ascii="Calibri" w:hAnsi="Calibri"/>
          <w:b/>
          <w:color w:val="B83252"/>
          <w:sz w:val="20"/>
        </w:rPr>
        <w:t>PRODUCT OVERVIEW</w:t>
      </w:r>
    </w:p>
    <w:p>
      <w:pPr>
        <w:widowControl/>
        <w:spacing w:after="160"/>
        <w:jc w:val="center"/>
      </w:pPr>
      <w:r>
        <w:rPr>
          <w:rFonts w:ascii="Calibri" w:hAnsi="Calibri"/>
          <w:b/>
          <w:color w:val="0B2545"/>
          <w:sz w:val="60"/>
        </w:rPr>
        <w:t>ModelHop for Claude Code</w:t>
      </w:r>
    </w:p>
    <w:p>
      <w:pPr>
        <w:widowControl/>
        <w:spacing w:after="480"/>
        <w:jc w:val="center"/>
      </w:pPr>
      <w:r>
        <w:rPr>
          <w:rFonts w:ascii="Calibri" w:hAnsi="Calibri"/>
          <w:color w:val="1F4D78"/>
          <w:sz w:val="30"/>
        </w:rPr>
        <w:t>A provider, compatibility, and continuity layer for developer AI workflows</w:t>
      </w:r>
    </w:p>
    <w:p>
      <w:pPr>
        <w:widowControl/>
        <w:spacing w:after="480" w:line="293" w:lineRule="auto"/>
        <w:ind w:left="936" w:right="936"/>
        <w:jc w:val="center"/>
      </w:pPr>
      <w:r>
        <w:rPr>
          <w:rFonts w:ascii="Calibri" w:hAnsi="Calibri"/>
          <w:color w:val="17232E"/>
          <w:sz w:val="25"/>
        </w:rPr>
        <w:t>Keep Claude Code’s editor interface and tool harness while choosing Anthropic, Synthetic, OpenAI API, or a ChatGPT/Codex allowance for inference.</w:t>
      </w:r>
    </w:p>
    <w:p>
      <w:pPr>
        <w:widowControl/>
        <w:spacing w:after="880"/>
        <w:jc w:val="center"/>
      </w:pPr>
      <w:r>
        <w:rPr>
          <w:rFonts w:ascii="Calibri" w:hAnsi="Calibri"/>
          <w:b/>
          <w:color w:val="5F6B76"/>
          <w:sz w:val="19"/>
        </w:rPr>
        <w:t>MULTI-PROVIDER   •   SAME CONVERSATION   •   LOCAL-FIRST   •   PHONE CONTINUATION</w:t>
      </w:r>
    </w:p>
    <w:p>
      <w:pPr>
        <w:widowControl/>
        <w:spacing w:after="80"/>
        <w:jc w:val="center"/>
      </w:pPr>
      <w:r>
        <w:rPr>
          <w:rFonts w:ascii="Calibri" w:hAnsi="Calibri"/>
          <w:b/>
          <w:color w:val="B83252"/>
          <w:sz w:val="36"/>
        </w:rPr>
        <w:t>Choose the model. Keep the workflow.</w:t>
      </w:r>
    </w:p>
    <w:p>
      <w:pPr>
        <w:widowControl/>
        <w:spacing w:after="80"/>
        <w:jc w:val="center"/>
      </w:pPr>
      <w:r>
        <w:rPr>
          <w:rFonts w:ascii="Calibri" w:hAnsi="Calibri"/>
          <w:color w:val="5F6B76"/>
          <w:sz w:val="19"/>
        </w:rPr>
        <w:t>August 2026  •  Packaged version 2.2.4  •  MIT licensed</w:t>
      </w:r>
    </w:p>
    <w:p>
      <w:pPr>
        <w:widowControl/>
        <w:jc w:val="center"/>
      </w:pPr>
      <w:hyperlink r:id="rId14" w:history="1">
        <w:r>
          <w:rPr>
            <w:rFonts w:ascii="Calibri" w:hAnsi="Calibri"/>
            <w:color w:val="2E74B5"/>
            <w:u w:val="single"/>
          </w:rPr>
          <w:t>github.com/markrpg/modelhop-for-claude-code</w:t>
        </w:r>
      </w:hyperlink>
    </w:p>
    <w:p>
      <w:pPr>
        <w:widowControl/>
        <w:spacing w:after="0"/>
      </w:pPr>
      <w:r>
        <w:br w:type="page"/>
      </w:r>
    </w:p>
    <w:p>
      <w:pPr>
        <w:pStyle w:val="Heading1"/>
        <w:keepNext/>
      </w:pPr>
      <w:r>
        <w:t>Why ModelHop exists</w:t>
      </w:r>
    </w:p>
    <w:tbl>
      <w:tblPr>
        <w:tblW w:type="dxa" w:w="9360"/>
        <w:jc w:val="left"/>
        <w:tblLayout w:type="fixed"/>
        <w:tblLook w:firstColumn="1" w:firstRow="1" w:lastColumn="0" w:lastRow="0" w:noHBand="0" w:noVBand="1" w:val="04A0"/>
        <w:tblInd w:type="dxa" w:w="180"/>
      </w:tblPr>
      <w:tblGrid>
        <w:gridCol w:w="9360"/>
      </w:tblGrid>
      <w:tr>
        <w:trPr/>
        <w:tc>
          <w:tcPr>
            <w:tcW w:type="dxa" w:w="9360"/>
            <w:tcMar>
              <w:top w:w="160" w:type="dxa"/>
              <w:bottom w:w="160" w:type="dxa"/>
              <w:start w:w="180" w:type="dxa"/>
              <w:end w:w="180" w:type="dxa"/>
            </w:tcMar>
            <w:vAlign w:val="center"/>
            <w:shd w:fill="FDECF1"/>
            <w:tcBorders>
              <w:top w:val="single" w:sz="5" w:space="0" w:color="D9DEE7"/>
              <w:start w:val="single" w:sz="18" w:space="0" w:color="E94F70"/>
              <w:bottom w:val="single" w:sz="5" w:space="0" w:color="D9DEE7"/>
              <w:end w:val="single" w:sz="5" w:space="0" w:color="D9DEE7"/>
              <w:insideH w:val="single" w:sz="5" w:space="0" w:color="D9DEE7"/>
              <w:insideV w:val="single" w:sz="5" w:space="0" w:color="D9DEE7"/>
            </w:tcBorders>
          </w:tcPr>
          <w:p>
            <w:pPr>
              <w:spacing w:before="0" w:after="0" w:line="264" w:lineRule="auto"/>
            </w:pPr>
            <w:r>
              <w:rPr>
                <w:rFonts w:ascii="Calibri" w:hAnsi="Calibri"/>
                <w:b/>
                <w:color w:val="B83252"/>
                <w:sz w:val="22"/>
              </w:rPr>
              <w:t xml:space="preserve">THE PRODUCT  </w:t>
            </w:r>
            <w:r>
              <w:rPr>
                <w:rFonts w:ascii="Calibri" w:hAnsi="Calibri"/>
                <w:color w:val="17232E"/>
                <w:sz w:val="22"/>
              </w:rPr>
              <w:t>ModelHop separates Claude Code’s interface and tool harness from the model provider, then supplies the compatibility, state, and safety needed to make that separation usable.</w:t>
            </w:r>
          </w:p>
        </w:tc>
      </w:tr>
    </w:tbl>
    <w:p>
      <w:pPr>
        <w:widowControl/>
        <w:spacing w:after="40"/>
      </w:pPr>
    </w:p>
    <w:p>
      <w:pPr>
        <w:spacing w:after="120" w:line="264" w:lineRule="auto"/>
      </w:pPr>
      <w:r>
        <w:rPr>
          <w:rFonts w:ascii="Calibri" w:hAnsi="Calibri"/>
          <w:color w:val="17232E"/>
        </w:rPr>
        <w:t>Claude Code is a strong developer workflow, but the default experience couples that workflow to one provider, one billing route, and one model catalogue. Moving elsewhere usually means editing environment variables, losing usage visibility, or starting over when a tool-heavy conversation becomes incompatible.</w:t>
      </w:r>
    </w:p>
    <w:p>
      <w:pPr>
        <w:spacing w:after="120" w:line="264" w:lineRule="auto"/>
      </w:pPr>
      <w:r>
        <w:rPr>
          <w:rFonts w:ascii="Calibri" w:hAnsi="Calibri"/>
          <w:color w:val="17232E"/>
        </w:rPr>
        <w:t>ModelHop keeps the graphical Claude Code extension in Cursor or VS Code as the place where work happens. It manages authentication, per-role model routing, provider translation, conversation repair, context pressure, usage, and optional phone continuation around that workflow. It does not configure standalone Claude Code CLI sessions.</w:t>
      </w:r>
    </w:p>
    <w:p>
      <w:pPr>
        <w:pStyle w:val="Heading2"/>
        <w:keepNext/>
      </w:pPr>
      <w:r>
        <w:t>Developer problems solved</w:t>
      </w:r>
    </w:p>
    <w:tbl>
      <w:tblPr>
        <w:tblW w:type="dxa" w:w="9360"/>
        <w:jc w:val="left"/>
        <w:tblLayout w:type="fixed"/>
        <w:tblLook w:firstColumn="1" w:firstRow="1" w:lastColumn="0" w:lastRow="0" w:noHBand="0" w:noVBand="1" w:val="04A0"/>
        <w:tblInd w:type="dxa" w:w="120"/>
      </w:tblPr>
      <w:tblGrid>
        <w:gridCol w:w="3450"/>
        <w:gridCol w:w="5910"/>
      </w:tblGrid>
      <w:tr>
        <w:trPr>
          <w:tblHeader w:val="true"/>
          <w:cantSplit/>
        </w:trPr>
        <w:tc>
          <w:tcPr>
            <w:tcW w:type="dxa" w:w="3450"/>
            <w:vAlign w:val="center"/>
            <w:shd w:fill="F2F4F7"/>
            <w:tcBorders>
              <w:top w:val="single" w:sz="6" w:space="0" w:color="D9DEE7"/>
              <w:start w:val="single" w:sz="6" w:space="0" w:color="D9DEE7"/>
              <w:bottom w:val="single" w:sz="6" w:space="0" w:color="D9DEE7"/>
              <w:end w:val="single" w:sz="6" w:space="0" w:color="D9DEE7"/>
              <w:insideH w:val="single" w:sz="6" w:space="0" w:color="D9DEE7"/>
              <w:insideV w:val="single" w:sz="6" w:space="0" w:color="D9DEE7"/>
            </w:tcBorders>
            <w:tcMar>
              <w:top w:w="80" w:type="dxa"/>
              <w:bottom w:w="80" w:type="dxa"/>
              <w:start w:w="120" w:type="dxa"/>
              <w:end w:w="120" w:type="dxa"/>
            </w:tcMar>
          </w:tcPr>
          <w:p>
            <w:pPr>
              <w:spacing w:before="0" w:after="0" w:line="240" w:lineRule="auto"/>
            </w:pPr>
            <w:r>
              <w:rPr>
                <w:rFonts w:ascii="Calibri" w:hAnsi="Calibri"/>
                <w:b/>
                <w:color w:val="0B2545"/>
                <w:sz w:val="18"/>
              </w:rPr>
              <w:t>Developer friction</w:t>
            </w:r>
          </w:p>
        </w:tc>
        <w:tc>
          <w:tcPr>
            <w:tcW w:type="dxa" w:w="5910"/>
            <w:vAlign w:val="center"/>
            <w:shd w:fill="F2F4F7"/>
            <w:tcBorders>
              <w:top w:val="single" w:sz="6" w:space="0" w:color="D9DEE7"/>
              <w:start w:val="single" w:sz="6" w:space="0" w:color="D9DEE7"/>
              <w:bottom w:val="single" w:sz="6" w:space="0" w:color="D9DEE7"/>
              <w:end w:val="single" w:sz="6" w:space="0" w:color="D9DEE7"/>
              <w:insideH w:val="single" w:sz="6" w:space="0" w:color="D9DEE7"/>
              <w:insideV w:val="single" w:sz="6" w:space="0" w:color="D9DEE7"/>
            </w:tcBorders>
            <w:tcMar>
              <w:top w:w="80" w:type="dxa"/>
              <w:bottom w:w="80" w:type="dxa"/>
              <w:start w:w="120" w:type="dxa"/>
              <w:end w:w="120" w:type="dxa"/>
            </w:tcMar>
          </w:tcPr>
          <w:p>
            <w:pPr>
              <w:spacing w:before="0" w:after="0" w:line="240" w:lineRule="auto"/>
            </w:pPr>
            <w:r>
              <w:rPr>
                <w:rFonts w:ascii="Calibri" w:hAnsi="Calibri"/>
                <w:b/>
                <w:color w:val="0B2545"/>
                <w:sz w:val="18"/>
              </w:rPr>
              <w:t>ModelHop response</w:t>
            </w:r>
          </w:p>
        </w:tc>
      </w:tr>
      <w:tr>
        <w:trPr>
          <w:cantSplit/>
        </w:trPr>
        <w:tc>
          <w:tcPr>
            <w:tcW w:type="dxa" w:w="3450"/>
            <w:vAlign w:val="center"/>
            <w:shd w:fill="FFFFFF"/>
            <w:tcBorders>
              <w:top w:val="single" w:sz="6" w:space="0" w:color="D9DEE7"/>
              <w:start w:val="single" w:sz="6" w:space="0" w:color="D9DEE7"/>
              <w:bottom w:val="single" w:sz="6" w:space="0" w:color="D9DEE7"/>
              <w:end w:val="single" w:sz="6" w:space="0" w:color="D9DEE7"/>
              <w:insideH w:val="single" w:sz="6" w:space="0" w:color="D9DEE7"/>
              <w:insideV w:val="single" w:sz="6" w:space="0" w:color="D9DEE7"/>
            </w:tcBorders>
            <w:tcMar>
              <w:top w:w="80" w:type="dxa"/>
              <w:bottom w:w="80" w:type="dxa"/>
              <w:start w:w="120" w:type="dxa"/>
              <w:end w:w="120" w:type="dxa"/>
            </w:tcMar>
          </w:tcPr>
          <w:p>
            <w:pPr>
              <w:spacing w:before="0" w:after="0" w:line="240" w:lineRule="auto"/>
            </w:pPr>
            <w:r>
              <w:rPr>
                <w:rFonts w:ascii="Calibri" w:hAnsi="Calibri"/>
                <w:b/>
                <w:color w:val="17232E"/>
                <w:sz w:val="18"/>
              </w:rPr>
              <w:t>Model and billing lock-in</w:t>
            </w:r>
          </w:p>
        </w:tc>
        <w:tc>
          <w:tcPr>
            <w:tcW w:type="dxa" w:w="5910"/>
            <w:vAlign w:val="center"/>
            <w:shd w:fill="FFFFFF"/>
            <w:tcBorders>
              <w:top w:val="single" w:sz="6" w:space="0" w:color="D9DEE7"/>
              <w:start w:val="single" w:sz="6" w:space="0" w:color="D9DEE7"/>
              <w:bottom w:val="single" w:sz="6" w:space="0" w:color="D9DEE7"/>
              <w:end w:val="single" w:sz="6" w:space="0" w:color="D9DEE7"/>
              <w:insideH w:val="single" w:sz="6" w:space="0" w:color="D9DEE7"/>
              <w:insideV w:val="single" w:sz="6" w:space="0" w:color="D9DEE7"/>
            </w:tcBorders>
            <w:tcMar>
              <w:top w:w="80" w:type="dxa"/>
              <w:bottom w:w="80" w:type="dxa"/>
              <w:start w:w="120" w:type="dxa"/>
              <w:end w:w="120" w:type="dxa"/>
            </w:tcMar>
          </w:tcPr>
          <w:p>
            <w:pPr>
              <w:spacing w:before="0" w:after="0" w:line="240" w:lineRule="auto"/>
            </w:pPr>
            <w:r>
              <w:rPr>
                <w:rFonts w:ascii="Calibri" w:hAnsi="Calibri"/>
                <w:b w:val="0"/>
                <w:color w:val="17232E"/>
                <w:sz w:val="18"/>
              </w:rPr>
              <w:t>Four provider routes behind the same Claude Code workflow.</w:t>
            </w:r>
          </w:p>
        </w:tc>
      </w:tr>
      <w:tr>
        <w:trPr>
          <w:cantSplit/>
        </w:trPr>
        <w:tc>
          <w:tcPr>
            <w:tcW w:type="dxa" w:w="3450"/>
            <w:vAlign w:val="center"/>
            <w:shd w:fill="FFFFFF"/>
            <w:tcBorders>
              <w:top w:val="single" w:sz="6" w:space="0" w:color="D9DEE7"/>
              <w:start w:val="single" w:sz="6" w:space="0" w:color="D9DEE7"/>
              <w:bottom w:val="single" w:sz="6" w:space="0" w:color="D9DEE7"/>
              <w:end w:val="single" w:sz="6" w:space="0" w:color="D9DEE7"/>
              <w:insideH w:val="single" w:sz="6" w:space="0" w:color="D9DEE7"/>
              <w:insideV w:val="single" w:sz="6" w:space="0" w:color="D9DEE7"/>
            </w:tcBorders>
            <w:tcMar>
              <w:top w:w="80" w:type="dxa"/>
              <w:bottom w:w="80" w:type="dxa"/>
              <w:start w:w="120" w:type="dxa"/>
              <w:end w:w="120" w:type="dxa"/>
            </w:tcMar>
          </w:tcPr>
          <w:p>
            <w:pPr>
              <w:spacing w:before="0" w:after="0" w:line="240" w:lineRule="auto"/>
            </w:pPr>
            <w:r>
              <w:rPr>
                <w:rFonts w:ascii="Calibri" w:hAnsi="Calibri"/>
                <w:b/>
                <w:color w:val="17232E"/>
                <w:sz w:val="18"/>
              </w:rPr>
              <w:t>Risky manual configuration</w:t>
            </w:r>
          </w:p>
        </w:tc>
        <w:tc>
          <w:tcPr>
            <w:tcW w:type="dxa" w:w="5910"/>
            <w:vAlign w:val="center"/>
            <w:shd w:fill="FFFFFF"/>
            <w:tcBorders>
              <w:top w:val="single" w:sz="6" w:space="0" w:color="D9DEE7"/>
              <w:start w:val="single" w:sz="6" w:space="0" w:color="D9DEE7"/>
              <w:bottom w:val="single" w:sz="6" w:space="0" w:color="D9DEE7"/>
              <w:end w:val="single" w:sz="6" w:space="0" w:color="D9DEE7"/>
              <w:insideH w:val="single" w:sz="6" w:space="0" w:color="D9DEE7"/>
              <w:insideV w:val="single" w:sz="6" w:space="0" w:color="D9DEE7"/>
            </w:tcBorders>
            <w:tcMar>
              <w:top w:w="80" w:type="dxa"/>
              <w:bottom w:w="80" w:type="dxa"/>
              <w:start w:w="120" w:type="dxa"/>
              <w:end w:w="120" w:type="dxa"/>
            </w:tcMar>
          </w:tcPr>
          <w:p>
            <w:pPr>
              <w:spacing w:before="0" w:after="0" w:line="240" w:lineRule="auto"/>
            </w:pPr>
            <w:r>
              <w:rPr>
                <w:rFonts w:ascii="Calibri" w:hAnsi="Calibri"/>
                <w:b w:val="0"/>
                <w:color w:val="17232E"/>
                <w:sz w:val="18"/>
              </w:rPr>
              <w:t>In-extension credentials, validation, owned-key updates, snapshots, and rollback.</w:t>
            </w:r>
          </w:p>
        </w:tc>
      </w:tr>
      <w:tr>
        <w:trPr>
          <w:cantSplit/>
        </w:trPr>
        <w:tc>
          <w:tcPr>
            <w:tcW w:type="dxa" w:w="3450"/>
            <w:vAlign w:val="center"/>
            <w:shd w:fill="FFFFFF"/>
            <w:tcBorders>
              <w:top w:val="single" w:sz="6" w:space="0" w:color="D9DEE7"/>
              <w:start w:val="single" w:sz="6" w:space="0" w:color="D9DEE7"/>
              <w:bottom w:val="single" w:sz="6" w:space="0" w:color="D9DEE7"/>
              <w:end w:val="single" w:sz="6" w:space="0" w:color="D9DEE7"/>
              <w:insideH w:val="single" w:sz="6" w:space="0" w:color="D9DEE7"/>
              <w:insideV w:val="single" w:sz="6" w:space="0" w:color="D9DEE7"/>
            </w:tcBorders>
            <w:tcMar>
              <w:top w:w="80" w:type="dxa"/>
              <w:bottom w:w="80" w:type="dxa"/>
              <w:start w:w="120" w:type="dxa"/>
              <w:end w:w="120" w:type="dxa"/>
            </w:tcMar>
          </w:tcPr>
          <w:p>
            <w:pPr>
              <w:spacing w:before="0" w:after="0" w:line="240" w:lineRule="auto"/>
            </w:pPr>
            <w:r>
              <w:rPr>
                <w:rFonts w:ascii="Calibri" w:hAnsi="Calibri"/>
                <w:b/>
                <w:color w:val="17232E"/>
                <w:sz w:val="18"/>
              </w:rPr>
              <w:t>One model for every task</w:t>
            </w:r>
          </w:p>
        </w:tc>
        <w:tc>
          <w:tcPr>
            <w:tcW w:type="dxa" w:w="5910"/>
            <w:vAlign w:val="center"/>
            <w:shd w:fill="FFFFFF"/>
            <w:tcBorders>
              <w:top w:val="single" w:sz="6" w:space="0" w:color="D9DEE7"/>
              <w:start w:val="single" w:sz="6" w:space="0" w:color="D9DEE7"/>
              <w:bottom w:val="single" w:sz="6" w:space="0" w:color="D9DEE7"/>
              <w:end w:val="single" w:sz="6" w:space="0" w:color="D9DEE7"/>
              <w:insideH w:val="single" w:sz="6" w:space="0" w:color="D9DEE7"/>
              <w:insideV w:val="single" w:sz="6" w:space="0" w:color="D9DEE7"/>
            </w:tcBorders>
            <w:tcMar>
              <w:top w:w="80" w:type="dxa"/>
              <w:bottom w:w="80" w:type="dxa"/>
              <w:start w:w="120" w:type="dxa"/>
              <w:end w:w="120" w:type="dxa"/>
            </w:tcMar>
          </w:tcPr>
          <w:p>
            <w:pPr>
              <w:spacing w:before="0" w:after="0" w:line="240" w:lineRule="auto"/>
            </w:pPr>
            <w:r>
              <w:rPr>
                <w:rFonts w:ascii="Calibri" w:hAnsi="Calibri"/>
                <w:b w:val="0"/>
                <w:color w:val="17232E"/>
                <w:sz w:val="18"/>
              </w:rPr>
              <w:t>Separate Default, Opus, Sonnet, Haiku, and subagent mappings.</w:t>
            </w:r>
          </w:p>
        </w:tc>
      </w:tr>
      <w:tr>
        <w:trPr>
          <w:cantSplit/>
        </w:trPr>
        <w:tc>
          <w:tcPr>
            <w:tcW w:type="dxa" w:w="3450"/>
            <w:vAlign w:val="center"/>
            <w:shd w:fill="FFFFFF"/>
            <w:tcBorders>
              <w:top w:val="single" w:sz="6" w:space="0" w:color="D9DEE7"/>
              <w:start w:val="single" w:sz="6" w:space="0" w:color="D9DEE7"/>
              <w:bottom w:val="single" w:sz="6" w:space="0" w:color="D9DEE7"/>
              <w:end w:val="single" w:sz="6" w:space="0" w:color="D9DEE7"/>
              <w:insideH w:val="single" w:sz="6" w:space="0" w:color="D9DEE7"/>
              <w:insideV w:val="single" w:sz="6" w:space="0" w:color="D9DEE7"/>
            </w:tcBorders>
            <w:tcMar>
              <w:top w:w="80" w:type="dxa"/>
              <w:bottom w:w="80" w:type="dxa"/>
              <w:start w:w="120" w:type="dxa"/>
              <w:end w:w="120" w:type="dxa"/>
            </w:tcMar>
          </w:tcPr>
          <w:p>
            <w:pPr>
              <w:spacing w:before="0" w:after="0" w:line="240" w:lineRule="auto"/>
            </w:pPr>
            <w:r>
              <w:rPr>
                <w:rFonts w:ascii="Calibri" w:hAnsi="Calibri"/>
                <w:b/>
                <w:color w:val="17232E"/>
                <w:sz w:val="18"/>
              </w:rPr>
              <w:t>Broken chats after switching</w:t>
            </w:r>
          </w:p>
        </w:tc>
        <w:tc>
          <w:tcPr>
            <w:tcW w:type="dxa" w:w="5910"/>
            <w:vAlign w:val="center"/>
            <w:shd w:fill="FFFFFF"/>
            <w:tcBorders>
              <w:top w:val="single" w:sz="6" w:space="0" w:color="D9DEE7"/>
              <w:start w:val="single" w:sz="6" w:space="0" w:color="D9DEE7"/>
              <w:bottom w:val="single" w:sz="6" w:space="0" w:color="D9DEE7"/>
              <w:end w:val="single" w:sz="6" w:space="0" w:color="D9DEE7"/>
              <w:insideH w:val="single" w:sz="6" w:space="0" w:color="D9DEE7"/>
              <w:insideV w:val="single" w:sz="6" w:space="0" w:color="D9DEE7"/>
            </w:tcBorders>
            <w:tcMar>
              <w:top w:w="80" w:type="dxa"/>
              <w:bottom w:w="80" w:type="dxa"/>
              <w:start w:w="120" w:type="dxa"/>
              <w:end w:w="120" w:type="dxa"/>
            </w:tcMar>
          </w:tcPr>
          <w:p>
            <w:pPr>
              <w:spacing w:before="0" w:after="0" w:line="240" w:lineRule="auto"/>
            </w:pPr>
            <w:r>
              <w:rPr>
                <w:rFonts w:ascii="Calibri" w:hAnsi="Calibri"/>
                <w:b w:val="0"/>
                <w:color w:val="17232E"/>
                <w:sz w:val="18"/>
              </w:rPr>
              <w:t>Automatic repair of tool names, IDs, result links, callers, and thinking blocks.</w:t>
            </w:r>
          </w:p>
        </w:tc>
      </w:tr>
      <w:tr>
        <w:trPr>
          <w:cantSplit/>
        </w:trPr>
        <w:tc>
          <w:tcPr>
            <w:tcW w:type="dxa" w:w="3450"/>
            <w:vAlign w:val="center"/>
            <w:shd w:fill="FFFFFF"/>
            <w:tcBorders>
              <w:top w:val="single" w:sz="6" w:space="0" w:color="D9DEE7"/>
              <w:start w:val="single" w:sz="6" w:space="0" w:color="D9DEE7"/>
              <w:bottom w:val="single" w:sz="6" w:space="0" w:color="D9DEE7"/>
              <w:end w:val="single" w:sz="6" w:space="0" w:color="D9DEE7"/>
              <w:insideH w:val="single" w:sz="6" w:space="0" w:color="D9DEE7"/>
              <w:insideV w:val="single" w:sz="6" w:space="0" w:color="D9DEE7"/>
            </w:tcBorders>
            <w:tcMar>
              <w:top w:w="80" w:type="dxa"/>
              <w:bottom w:w="80" w:type="dxa"/>
              <w:start w:w="120" w:type="dxa"/>
              <w:end w:w="120" w:type="dxa"/>
            </w:tcMar>
          </w:tcPr>
          <w:p>
            <w:pPr>
              <w:spacing w:before="0" w:after="0" w:line="240" w:lineRule="auto"/>
            </w:pPr>
            <w:r>
              <w:rPr>
                <w:rFonts w:ascii="Calibri" w:hAnsi="Calibri"/>
                <w:b/>
                <w:color w:val="17232E"/>
                <w:sz w:val="18"/>
              </w:rPr>
              <w:t>Long conversations hit context limits</w:t>
            </w:r>
          </w:p>
        </w:tc>
        <w:tc>
          <w:tcPr>
            <w:tcW w:type="dxa" w:w="5910"/>
            <w:vAlign w:val="center"/>
            <w:shd w:fill="FFFFFF"/>
            <w:tcBorders>
              <w:top w:val="single" w:sz="6" w:space="0" w:color="D9DEE7"/>
              <w:start w:val="single" w:sz="6" w:space="0" w:color="D9DEE7"/>
              <w:bottom w:val="single" w:sz="6" w:space="0" w:color="D9DEE7"/>
              <w:end w:val="single" w:sz="6" w:space="0" w:color="D9DEE7"/>
              <w:insideH w:val="single" w:sz="6" w:space="0" w:color="D9DEE7"/>
              <w:insideV w:val="single" w:sz="6" w:space="0" w:color="D9DEE7"/>
            </w:tcBorders>
            <w:tcMar>
              <w:top w:w="80" w:type="dxa"/>
              <w:bottom w:w="80" w:type="dxa"/>
              <w:start w:w="120" w:type="dxa"/>
              <w:end w:w="120" w:type="dxa"/>
            </w:tcMar>
          </w:tcPr>
          <w:p>
            <w:pPr>
              <w:spacing w:before="0" w:after="0" w:line="240" w:lineRule="auto"/>
            </w:pPr>
            <w:r>
              <w:rPr>
                <w:rFonts w:ascii="Calibri" w:hAnsi="Calibri"/>
                <w:b w:val="0"/>
                <w:color w:val="17232E"/>
                <w:sz w:val="18"/>
              </w:rPr>
              <w:t>Model-aware counting and safe, automatic bridge-side compaction.</w:t>
            </w:r>
          </w:p>
        </w:tc>
      </w:tr>
      <w:tr>
        <w:trPr>
          <w:cantSplit/>
        </w:trPr>
        <w:tc>
          <w:tcPr>
            <w:tcW w:type="dxa" w:w="3450"/>
            <w:vAlign w:val="center"/>
            <w:shd w:fill="FFFFFF"/>
            <w:tcBorders>
              <w:top w:val="single" w:sz="6" w:space="0" w:color="D9DEE7"/>
              <w:start w:val="single" w:sz="6" w:space="0" w:color="D9DEE7"/>
              <w:bottom w:val="single" w:sz="6" w:space="0" w:color="D9DEE7"/>
              <w:end w:val="single" w:sz="6" w:space="0" w:color="D9DEE7"/>
              <w:insideH w:val="single" w:sz="6" w:space="0" w:color="D9DEE7"/>
              <w:insideV w:val="single" w:sz="6" w:space="0" w:color="D9DEE7"/>
            </w:tcBorders>
            <w:tcMar>
              <w:top w:w="80" w:type="dxa"/>
              <w:bottom w:w="80" w:type="dxa"/>
              <w:start w:w="120" w:type="dxa"/>
              <w:end w:w="120" w:type="dxa"/>
            </w:tcMar>
          </w:tcPr>
          <w:p>
            <w:pPr>
              <w:spacing w:before="0" w:after="0" w:line="240" w:lineRule="auto"/>
            </w:pPr>
            <w:r>
              <w:rPr>
                <w:rFonts w:ascii="Calibri" w:hAnsi="Calibri"/>
                <w:b/>
                <w:color w:val="17232E"/>
                <w:sz w:val="18"/>
              </w:rPr>
              <w:t>Quota and cost are hidden</w:t>
            </w:r>
          </w:p>
        </w:tc>
        <w:tc>
          <w:tcPr>
            <w:tcW w:type="dxa" w:w="5910"/>
            <w:vAlign w:val="center"/>
            <w:shd w:fill="FFFFFF"/>
            <w:tcBorders>
              <w:top w:val="single" w:sz="6" w:space="0" w:color="D9DEE7"/>
              <w:start w:val="single" w:sz="6" w:space="0" w:color="D9DEE7"/>
              <w:bottom w:val="single" w:sz="6" w:space="0" w:color="D9DEE7"/>
              <w:end w:val="single" w:sz="6" w:space="0" w:color="D9DEE7"/>
              <w:insideH w:val="single" w:sz="6" w:space="0" w:color="D9DEE7"/>
              <w:insideV w:val="single" w:sz="6" w:space="0" w:color="D9DEE7"/>
            </w:tcBorders>
            <w:tcMar>
              <w:top w:w="80" w:type="dxa"/>
              <w:bottom w:w="80" w:type="dxa"/>
              <w:start w:w="120" w:type="dxa"/>
              <w:end w:w="120" w:type="dxa"/>
            </w:tcMar>
          </w:tcPr>
          <w:p>
            <w:pPr>
              <w:spacing w:before="0" w:after="0" w:line="240" w:lineRule="auto"/>
            </w:pPr>
            <w:r>
              <w:rPr>
                <w:rFonts w:ascii="Calibri" w:hAnsi="Calibri"/>
                <w:b w:val="0"/>
                <w:color w:val="17232E"/>
                <w:sz w:val="18"/>
              </w:rPr>
              <w:t>Provider-specific usage, cost, headroom, reset timing, and allowance views.</w:t>
            </w:r>
          </w:p>
        </w:tc>
      </w:tr>
      <w:tr>
        <w:trPr>
          <w:cantSplit/>
        </w:trPr>
        <w:tc>
          <w:tcPr>
            <w:tcW w:type="dxa" w:w="3450"/>
            <w:vAlign w:val="center"/>
            <w:shd w:fill="FFFFFF"/>
            <w:tcBorders>
              <w:top w:val="single" w:sz="6" w:space="0" w:color="D9DEE7"/>
              <w:start w:val="single" w:sz="6" w:space="0" w:color="D9DEE7"/>
              <w:bottom w:val="single" w:sz="6" w:space="0" w:color="D9DEE7"/>
              <w:end w:val="single" w:sz="6" w:space="0" w:color="D9DEE7"/>
              <w:insideH w:val="single" w:sz="6" w:space="0" w:color="D9DEE7"/>
              <w:insideV w:val="single" w:sz="6" w:space="0" w:color="D9DEE7"/>
            </w:tcBorders>
            <w:tcMar>
              <w:top w:w="80" w:type="dxa"/>
              <w:bottom w:w="80" w:type="dxa"/>
              <w:start w:w="120" w:type="dxa"/>
              <w:end w:w="120" w:type="dxa"/>
            </w:tcMar>
          </w:tcPr>
          <w:p>
            <w:pPr>
              <w:spacing w:before="0" w:after="0" w:line="240" w:lineRule="auto"/>
            </w:pPr>
            <w:r>
              <w:rPr>
                <w:rFonts w:ascii="Calibri" w:hAnsi="Calibri"/>
                <w:b/>
                <w:color w:val="17232E"/>
                <w:sz w:val="18"/>
              </w:rPr>
              <w:t>Remote work needs broad machine access</w:t>
            </w:r>
          </w:p>
        </w:tc>
        <w:tc>
          <w:tcPr>
            <w:tcW w:type="dxa" w:w="5910"/>
            <w:vAlign w:val="center"/>
            <w:shd w:fill="FFFFFF"/>
            <w:tcBorders>
              <w:top w:val="single" w:sz="6" w:space="0" w:color="D9DEE7"/>
              <w:start w:val="single" w:sz="6" w:space="0" w:color="D9DEE7"/>
              <w:bottom w:val="single" w:sz="6" w:space="0" w:color="D9DEE7"/>
              <w:end w:val="single" w:sz="6" w:space="0" w:color="D9DEE7"/>
              <w:insideH w:val="single" w:sz="6" w:space="0" w:color="D9DEE7"/>
              <w:insideV w:val="single" w:sz="6" w:space="0" w:color="D9DEE7"/>
            </w:tcBorders>
            <w:tcMar>
              <w:top w:w="80" w:type="dxa"/>
              <w:bottom w:w="80" w:type="dxa"/>
              <w:start w:w="120" w:type="dxa"/>
              <w:end w:w="120" w:type="dxa"/>
            </w:tcMar>
          </w:tcPr>
          <w:p>
            <w:pPr>
              <w:spacing w:before="0" w:after="0" w:line="240" w:lineRule="auto"/>
            </w:pPr>
            <w:r>
              <w:rPr>
                <w:rFonts w:ascii="Calibri" w:hAnsi="Calibri"/>
                <w:b w:val="0"/>
                <w:color w:val="17232E"/>
                <w:sz w:val="18"/>
              </w:rPr>
              <w:t>An encrypted, task-focused phone continuation instead of remote desktop.</w:t>
            </w:r>
          </w:p>
        </w:tc>
      </w:tr>
      <w:tr>
        <w:trPr>
          <w:cantSplit/>
        </w:trPr>
        <w:tc>
          <w:tcPr>
            <w:tcW w:type="dxa" w:w="3450"/>
            <w:vAlign w:val="center"/>
            <w:shd w:fill="FFFFFF"/>
            <w:tcBorders>
              <w:top w:val="single" w:sz="6" w:space="0" w:color="D9DEE7"/>
              <w:start w:val="single" w:sz="6" w:space="0" w:color="D9DEE7"/>
              <w:bottom w:val="single" w:sz="6" w:space="0" w:color="D9DEE7"/>
              <w:end w:val="single" w:sz="6" w:space="0" w:color="D9DEE7"/>
              <w:insideH w:val="single" w:sz="6" w:space="0" w:color="D9DEE7"/>
              <w:insideV w:val="single" w:sz="6" w:space="0" w:color="D9DEE7"/>
            </w:tcBorders>
            <w:tcMar>
              <w:top w:w="80" w:type="dxa"/>
              <w:bottom w:w="80" w:type="dxa"/>
              <w:start w:w="120" w:type="dxa"/>
              <w:end w:w="120" w:type="dxa"/>
            </w:tcMar>
          </w:tcPr>
          <w:p>
            <w:pPr>
              <w:spacing w:before="0" w:after="0" w:line="240" w:lineRule="auto"/>
            </w:pPr>
            <w:r>
              <w:rPr>
                <w:rFonts w:ascii="Calibri" w:hAnsi="Calibri"/>
                <w:b/>
                <w:color w:val="17232E"/>
                <w:sz w:val="18"/>
              </w:rPr>
              <w:t>Provider failures route unpredictably</w:t>
            </w:r>
          </w:p>
        </w:tc>
        <w:tc>
          <w:tcPr>
            <w:tcW w:type="dxa" w:w="5910"/>
            <w:vAlign w:val="center"/>
            <w:shd w:fill="FFFFFF"/>
            <w:tcBorders>
              <w:top w:val="single" w:sz="6" w:space="0" w:color="D9DEE7"/>
              <w:start w:val="single" w:sz="6" w:space="0" w:color="D9DEE7"/>
              <w:bottom w:val="single" w:sz="6" w:space="0" w:color="D9DEE7"/>
              <w:end w:val="single" w:sz="6" w:space="0" w:color="D9DEE7"/>
              <w:insideH w:val="single" w:sz="6" w:space="0" w:color="D9DEE7"/>
              <w:insideV w:val="single" w:sz="6" w:space="0" w:color="D9DEE7"/>
            </w:tcBorders>
            <w:tcMar>
              <w:top w:w="80" w:type="dxa"/>
              <w:bottom w:w="80" w:type="dxa"/>
              <w:start w:w="120" w:type="dxa"/>
              <w:end w:w="120" w:type="dxa"/>
            </w:tcMar>
          </w:tcPr>
          <w:p>
            <w:pPr>
              <w:spacing w:before="0" w:after="0" w:line="240" w:lineRule="auto"/>
            </w:pPr>
            <w:r>
              <w:rPr>
                <w:rFonts w:ascii="Calibri" w:hAnsi="Calibri"/>
                <w:b w:val="0"/>
                <w:color w:val="17232E"/>
                <w:sz w:val="18"/>
              </w:rPr>
              <w:t>Fail-closed behaviour with no silent fallback to Anthropic.</w:t>
            </w:r>
          </w:p>
        </w:tc>
      </w:tr>
    </w:tbl>
    <w:p>
      <w:pPr>
        <w:widowControl/>
        <w:spacing w:after="40"/>
      </w:pPr>
    </w:p>
    <w:p>
      <w:pPr>
        <w:pStyle w:val="Heading2"/>
        <w:keepNext/>
      </w:pPr>
      <w:r>
        <w:t>Designed for</w:t>
      </w:r>
    </w:p>
    <w:p>
      <w:pPr>
        <w:widowControl/>
        <w:numPr>
          <w:ilvl w:val="0"/>
          <w:numId w:val="10"/>
        </w:numPr>
        <w:spacing w:after="160" w:line="280" w:lineRule="auto"/>
        <w:ind w:left="720" w:hanging="360"/>
      </w:pPr>
      <w:r>
        <w:rPr>
          <w:rFonts w:ascii="Calibri" w:hAnsi="Calibri"/>
          <w:b/>
          <w:color w:val="17232E"/>
        </w:rPr>
        <w:t>Claude Code extension users</w:t>
      </w:r>
      <w:r>
        <w:rPr>
          <w:rFonts w:ascii="Calibri" w:hAnsi="Calibri"/>
          <w:color w:val="17232E"/>
        </w:rPr>
        <w:t xml:space="preserve"> who want more model and billing choice without leaving the editor workflow they already use.</w:t>
      </w:r>
    </w:p>
    <w:p>
      <w:pPr>
        <w:widowControl/>
        <w:numPr>
          <w:ilvl w:val="0"/>
          <w:numId w:val="10"/>
        </w:numPr>
        <w:spacing w:after="160" w:line="280" w:lineRule="auto"/>
        <w:ind w:left="720" w:hanging="360"/>
      </w:pPr>
      <w:r>
        <w:rPr>
          <w:rFonts w:ascii="Calibri" w:hAnsi="Calibri"/>
          <w:b/>
          <w:color w:val="17232E"/>
        </w:rPr>
        <w:t>Power users</w:t>
      </w:r>
      <w:r>
        <w:rPr>
          <w:rFonts w:ascii="Calibri" w:hAnsi="Calibri"/>
          <w:color w:val="17232E"/>
        </w:rPr>
        <w:t xml:space="preserve"> who run long, tool-heavy conversations and need reliable provider transitions, usage visibility, and context continuity.</w:t>
      </w:r>
    </w:p>
    <w:p>
      <w:pPr>
        <w:widowControl/>
        <w:numPr>
          <w:ilvl w:val="0"/>
          <w:numId w:val="10"/>
        </w:numPr>
        <w:spacing w:after="160" w:line="280" w:lineRule="auto"/>
        <w:ind w:left="720" w:hanging="360"/>
      </w:pPr>
      <w:r>
        <w:rPr>
          <w:rFonts w:ascii="Calibri" w:hAnsi="Calibri"/>
          <w:b/>
          <w:color w:val="17232E"/>
        </w:rPr>
        <w:t>Developers on the move</w:t>
      </w:r>
      <w:r>
        <w:rPr>
          <w:rFonts w:ascii="Calibri" w:hAnsi="Calibri"/>
          <w:color w:val="17232E"/>
        </w:rPr>
        <w:t xml:space="preserve"> who want to monitor, steer, approve, and inspect a Mac-hosted coding task from a phone.</w:t>
      </w:r>
    </w:p>
    <w:p>
      <w:pPr>
        <w:widowControl/>
        <w:spacing w:after="0"/>
      </w:pPr>
      <w:r>
        <w:br w:type="page"/>
      </w:r>
    </w:p>
    <w:p>
      <w:pPr>
        <w:pStyle w:val="Heading1"/>
        <w:keepNext/>
      </w:pPr>
      <w:r>
        <w:t>Core product capabilities</w:t>
      </w:r>
    </w:p>
    <w:p>
      <w:pPr>
        <w:pStyle w:val="Heading2"/>
        <w:keepNext/>
      </w:pPr>
      <w:r>
        <w:t>Provider and credential management</w:t>
      </w:r>
    </w:p>
    <w:p>
      <w:pPr>
        <w:widowControl/>
        <w:numPr>
          <w:ilvl w:val="0"/>
          <w:numId w:val="10"/>
        </w:numPr>
        <w:spacing w:after="160" w:line="280" w:lineRule="auto"/>
        <w:ind w:left="720" w:hanging="360"/>
      </w:pPr>
      <w:r>
        <w:rPr>
          <w:rFonts w:ascii="Calibri" w:hAnsi="Calibri"/>
          <w:b/>
          <w:color w:val="17232E"/>
        </w:rPr>
        <w:t>One control surface.</w:t>
      </w:r>
      <w:r>
        <w:rPr>
          <w:rFonts w:ascii="Calibri" w:hAnsi="Calibri"/>
          <w:color w:val="17232E"/>
        </w:rPr>
        <w:t xml:space="preserve"> Switch among Anthropic, Synthetic, OpenAI API, and OpenAI via ChatGPT/Codex from the status bar or command palette.</w:t>
      </w:r>
    </w:p>
    <w:p>
      <w:pPr>
        <w:numPr>
          <w:ilvl w:val="0"/>
          <w:numId w:val="10"/>
        </w:numPr>
        <w:spacing w:after="160" w:line="280" w:lineRule="auto"/>
        <w:ind w:left="720" w:hanging="360"/>
      </w:pPr>
      <w:r>
        <w:rPr>
          <w:rFonts w:ascii="Calibri" w:hAnsi="Calibri"/>
          <w:b/>
          <w:color w:val="17232E"/>
        </w:rPr>
        <w:t>Independent, owned configuration.</w:t>
      </w:r>
      <w:r>
        <w:rPr>
          <w:rFonts w:ascii="Calibri" w:hAnsi="Calibri"/>
          <w:color w:val="17232E"/>
        </w:rPr>
        <w:t xml:space="preserve"> Secrets live in VS Code SecretStorage, Anthropic OAuth stays under Claude Code’s control, and unrelated settings survive verified writes or rollback.</w:t>
      </w:r>
    </w:p>
    <w:p>
      <w:pPr>
        <w:pStyle w:val="Heading2"/>
        <w:keepNext/>
      </w:pPr>
      <w:r>
        <w:t>Model routing and reasoning</w:t>
      </w:r>
    </w:p>
    <w:p>
      <w:pPr>
        <w:widowControl/>
        <w:numPr>
          <w:ilvl w:val="0"/>
          <w:numId w:val="10"/>
        </w:numPr>
        <w:spacing w:after="160" w:line="280" w:lineRule="auto"/>
        <w:ind w:left="720" w:hanging="360"/>
      </w:pPr>
      <w:r>
        <w:rPr>
          <w:rFonts w:ascii="Calibri" w:hAnsi="Calibri"/>
          <w:b/>
          <w:color w:val="17232E"/>
        </w:rPr>
        <w:t>Five role mappings.</w:t>
      </w:r>
      <w:r>
        <w:rPr>
          <w:rFonts w:ascii="Calibri" w:hAnsi="Calibri"/>
          <w:color w:val="17232E"/>
        </w:rPr>
        <w:t xml:space="preserve"> Assign different models to Default, Opus, Sonnet, Haiku, and subagent work for deliberate quality, latency, and cost trade-offs.</w:t>
      </w:r>
    </w:p>
    <w:p>
      <w:pPr>
        <w:numPr>
          <w:ilvl w:val="0"/>
          <w:numId w:val="10"/>
        </w:numPr>
        <w:spacing w:after="160" w:line="280" w:lineRule="auto"/>
        <w:ind w:left="720" w:hanging="360"/>
      </w:pPr>
      <w:r>
        <w:rPr>
          <w:rFonts w:ascii="Calibri" w:hAnsi="Calibri"/>
          <w:b/>
          <w:color w:val="17232E"/>
        </w:rPr>
        <w:t>Canonical, capability-aware choices.</w:t>
      </w:r>
      <w:r>
        <w:rPr>
          <w:rFonts w:ascii="Calibri" w:hAnsi="Calibri"/>
          <w:color w:val="17232E"/>
        </w:rPr>
        <w:t xml:space="preserve"> Pickers show the real provider model, reject missing configurations, and expose supported effort; the development build adds Claude-harness Thinking, Workflows, and conditional Ultracode.</w:t>
      </w:r>
    </w:p>
    <w:p>
      <w:pPr>
        <w:pStyle w:val="Heading2"/>
        <w:keepNext/>
      </w:pPr>
      <w:r>
        <w:t>Conversation continuity</w:t>
      </w:r>
    </w:p>
    <w:p>
      <w:pPr>
        <w:numPr>
          <w:ilvl w:val="0"/>
          <w:numId w:val="10"/>
        </w:numPr>
        <w:spacing w:after="160" w:line="280" w:lineRule="auto"/>
        <w:ind w:left="720" w:hanging="360"/>
      </w:pPr>
      <w:r>
        <w:rPr>
          <w:rFonts w:ascii="Calibri" w:hAnsi="Calibri"/>
          <w:b/>
          <w:color w:val="17232E"/>
        </w:rPr>
        <w:t>Same conversation.</w:t>
      </w:r>
      <w:r>
        <w:rPr>
          <w:rFonts w:ascii="Calibri" w:hAnsi="Calibri"/>
          <w:color w:val="17232E"/>
        </w:rPr>
        <w:t xml:space="preserve"> Deterministic transcript repair keeps tool-heavy chats usable when providers disagree about identifiers, names, links, or thinking signatures.</w:t>
      </w:r>
    </w:p>
    <w:p>
      <w:pPr>
        <w:numPr>
          <w:ilvl w:val="0"/>
          <w:numId w:val="10"/>
        </w:numPr>
        <w:spacing w:after="160" w:line="280" w:lineRule="auto"/>
        <w:ind w:left="720" w:hanging="360"/>
      </w:pPr>
      <w:r>
        <w:rPr>
          <w:rFonts w:ascii="Calibri" w:hAnsi="Calibri"/>
          <w:b/>
          <w:color w:val="17232E"/>
        </w:rPr>
        <w:t>Safe transition.</w:t>
      </w:r>
      <w:r>
        <w:rPr>
          <w:rFonts w:ascii="Calibri" w:hAnsi="Calibri"/>
          <w:color w:val="17232E"/>
        </w:rPr>
        <w:t xml:space="preserve"> Malformed tool graphs stop the switch, originals are backed up, and a full-window reload refreshes Claude Code before reopening the intended conversation.</w:t>
      </w:r>
    </w:p>
    <w:p>
      <w:pPr>
        <w:pStyle w:val="Heading2"/>
        <w:keepNext/>
      </w:pPr>
      <w:r>
        <w:t>Automatic context management</w:t>
      </w:r>
    </w:p>
    <w:p>
      <w:pPr>
        <w:widowControl/>
        <w:numPr>
          <w:ilvl w:val="0"/>
          <w:numId w:val="10"/>
        </w:numPr>
        <w:spacing w:after="160" w:line="280" w:lineRule="auto"/>
        <w:ind w:left="720" w:hanging="360"/>
      </w:pPr>
      <w:r>
        <w:rPr>
          <w:rFonts w:ascii="Calibri" w:hAnsi="Calibri"/>
          <w:b/>
          <w:color w:val="17232E"/>
        </w:rPr>
        <w:t>Whole-request budgeting.</w:t>
      </w:r>
      <w:r>
        <w:rPr>
          <w:rFonts w:ascii="Calibri" w:hAnsi="Calibri"/>
          <w:color w:val="17232E"/>
        </w:rPr>
        <w:t xml:space="preserve"> System instructions, tool schemas, images, conversation history, and reserved output are counted against the selected model’s context.</w:t>
      </w:r>
    </w:p>
    <w:p>
      <w:pPr>
        <w:numPr>
          <w:ilvl w:val="0"/>
          <w:numId w:val="10"/>
        </w:numPr>
        <w:spacing w:after="160" w:line="280" w:lineRule="auto"/>
        <w:ind w:left="720" w:hanging="360"/>
      </w:pPr>
      <w:r>
        <w:rPr>
          <w:rFonts w:ascii="Calibri" w:hAnsi="Calibri"/>
          <w:b/>
          <w:color w:val="17232E"/>
        </w:rPr>
        <w:t>Tool-safe compaction.</w:t>
      </w:r>
      <w:r>
        <w:rPr>
          <w:rFonts w:ascii="Calibri" w:hAnsi="Calibri"/>
          <w:color w:val="17232E"/>
        </w:rPr>
        <w:t xml:space="preserve"> Older completed work is summarized, recent history stays verbatim, linked tools remain atomic, and terminal context failures never become retry loops or forced fresh chats.</w:t>
      </w:r>
    </w:p>
    <w:p>
      <w:pPr>
        <w:pStyle w:val="Heading2"/>
        <w:keepNext/>
      </w:pPr>
      <w:r>
        <w:t>Usage and cost visibility</w:t>
      </w:r>
    </w:p>
    <w:p>
      <w:pPr>
        <w:widowControl/>
        <w:numPr>
          <w:ilvl w:val="0"/>
          <w:numId w:val="10"/>
        </w:numPr>
        <w:spacing w:after="160" w:line="280" w:lineRule="auto"/>
        <w:ind w:left="720" w:hanging="360"/>
      </w:pPr>
      <w:r>
        <w:rPr>
          <w:rFonts w:ascii="Calibri" w:hAnsi="Calibri"/>
          <w:b/>
          <w:color w:val="17232E"/>
        </w:rPr>
        <w:t>Synthetic.</w:t>
      </w:r>
      <w:r>
        <w:rPr>
          <w:rFonts w:ascii="Calibri" w:hAnsi="Calibri"/>
          <w:color w:val="17232E"/>
        </w:rPr>
        <w:t xml:space="preserve"> Rolling five-hour and weekly quota plus regeneration timing.</w:t>
      </w:r>
    </w:p>
    <w:p>
      <w:pPr>
        <w:widowControl/>
        <w:numPr>
          <w:ilvl w:val="0"/>
          <w:numId w:val="10"/>
        </w:numPr>
        <w:spacing w:after="160" w:line="280" w:lineRule="auto"/>
        <w:ind w:left="720" w:hanging="360"/>
      </w:pPr>
      <w:r>
        <w:rPr>
          <w:rFonts w:ascii="Calibri" w:hAnsi="Calibri"/>
          <w:b/>
          <w:color w:val="17232E"/>
        </w:rPr>
        <w:t>OpenAI API.</w:t>
      </w:r>
      <w:r>
        <w:rPr>
          <w:rFonts w:ascii="Calibri" w:hAnsi="Calibri"/>
          <w:color w:val="17232E"/>
        </w:rPr>
        <w:t xml:space="preserve"> Session tokens, cache use, request count, estimated cost, and rate-limit headroom.</w:t>
      </w:r>
    </w:p>
    <w:p>
      <w:pPr>
        <w:widowControl/>
        <w:numPr>
          <w:ilvl w:val="0"/>
          <w:numId w:val="10"/>
        </w:numPr>
        <w:spacing w:after="160" w:line="280" w:lineRule="auto"/>
        <w:ind w:left="720" w:hanging="360"/>
      </w:pPr>
      <w:r>
        <w:rPr>
          <w:rFonts w:ascii="Calibri" w:hAnsi="Calibri"/>
          <w:b/>
          <w:color w:val="17232E"/>
        </w:rPr>
        <w:t>ChatGPT/Codex.</w:t>
      </w:r>
      <w:r>
        <w:rPr>
          <w:rFonts w:ascii="Calibri" w:hAnsi="Calibri"/>
          <w:color w:val="17232E"/>
        </w:rPr>
        <w:t xml:space="preserve"> Subscription limits, reset timing, and confirmation-gated reset credits.</w:t>
      </w:r>
    </w:p>
    <w:p>
      <w:pPr>
        <w:widowControl/>
        <w:spacing w:after="0"/>
      </w:pPr>
      <w:r>
        <w:br w:type="page"/>
      </w:r>
    </w:p>
    <w:p>
      <w:pPr>
        <w:pStyle w:val="Heading1"/>
        <w:keepNext/>
      </w:pPr>
      <w:r>
        <w:t>Providers, models, and billing</w:t>
      </w:r>
    </w:p>
    <w:tbl>
      <w:tblPr>
        <w:tblW w:type="dxa" w:w="9360"/>
        <w:jc w:val="left"/>
        <w:tblLayout w:type="fixed"/>
        <w:tblLook w:firstColumn="1" w:firstRow="1" w:lastColumn="0" w:lastRow="0" w:noHBand="0" w:noVBand="1" w:val="04A0"/>
        <w:tblInd w:type="dxa" w:w="180"/>
      </w:tblPr>
      <w:tblGrid>
        <w:gridCol w:w="9360"/>
      </w:tblGrid>
      <w:tr>
        <w:trPr/>
        <w:tc>
          <w:tcPr>
            <w:tcW w:type="dxa" w:w="9360"/>
            <w:tcMar>
              <w:top w:w="160" w:type="dxa"/>
              <w:bottom w:w="160" w:type="dxa"/>
              <w:start w:w="180" w:type="dxa"/>
              <w:end w:w="180" w:type="dxa"/>
            </w:tcMar>
            <w:vAlign w:val="center"/>
            <w:shd w:fill="EEF5FB"/>
            <w:tcBorders>
              <w:top w:val="single" w:sz="5" w:space="0" w:color="D9DEE7"/>
              <w:start w:val="single" w:sz="18" w:space="0" w:color="E94F70"/>
              <w:bottom w:val="single" w:sz="5" w:space="0" w:color="D9DEE7"/>
              <w:end w:val="single" w:sz="5" w:space="0" w:color="D9DEE7"/>
              <w:insideH w:val="single" w:sz="5" w:space="0" w:color="D9DEE7"/>
              <w:insideV w:val="single" w:sz="5" w:space="0" w:color="D9DEE7"/>
            </w:tcBorders>
          </w:tcPr>
          <w:p>
            <w:pPr>
              <w:spacing w:before="0" w:after="0" w:line="264" w:lineRule="auto"/>
            </w:pPr>
            <w:r>
              <w:rPr>
                <w:rFonts w:ascii="Calibri" w:hAnsi="Calibri"/>
                <w:b/>
                <w:color w:val="B83252"/>
                <w:sz w:val="22"/>
              </w:rPr>
              <w:t xml:space="preserve">BILLING CLARITY  </w:t>
            </w:r>
            <w:r>
              <w:rPr>
                <w:rFonts w:ascii="Calibri" w:hAnsi="Calibri"/>
                <w:color w:val="17232E"/>
                <w:sz w:val="22"/>
              </w:rPr>
              <w:t>Synthetic and both OpenAI routes use their own quota, API billing, or ChatGPT/Codex allowance. They do not consume Anthropic model usage.</w:t>
            </w:r>
          </w:p>
        </w:tc>
      </w:tr>
    </w:tbl>
    <w:p>
      <w:pPr>
        <w:widowControl/>
        <w:spacing w:after="40"/>
      </w:pPr>
    </w:p>
    <w:tbl>
      <w:tblPr>
        <w:tblW w:type="dxa" w:w="9360"/>
        <w:jc w:val="left"/>
        <w:tblLayout w:type="fixed"/>
        <w:tblLook w:firstColumn="1" w:firstRow="1" w:lastColumn="0" w:lastRow="0" w:noHBand="0" w:noVBand="1" w:val="04A0"/>
        <w:tblInd w:type="dxa" w:w="120"/>
      </w:tblPr>
      <w:tblGrid>
        <w:gridCol w:w="1680"/>
        <w:gridCol w:w="2700"/>
        <w:gridCol w:w="2760"/>
        <w:gridCol w:w="2220"/>
      </w:tblGrid>
      <w:tr>
        <w:trPr>
          <w:tblHeader w:val="true"/>
          <w:cantSplit/>
        </w:trPr>
        <w:tc>
          <w:tcPr>
            <w:tcW w:type="dxa" w:w="1680"/>
            <w:vAlign w:val="center"/>
            <w:shd w:fill="F2F4F7"/>
            <w:tcBorders>
              <w:top w:val="single" w:sz="6" w:space="0" w:color="D9DEE7"/>
              <w:start w:val="single" w:sz="6" w:space="0" w:color="D9DEE7"/>
              <w:bottom w:val="single" w:sz="6" w:space="0" w:color="D9DEE7"/>
              <w:end w:val="single" w:sz="6" w:space="0" w:color="D9DEE7"/>
              <w:insideH w:val="single" w:sz="6" w:space="0" w:color="D9DEE7"/>
              <w:insideV w:val="single" w:sz="6" w:space="0" w:color="D9DEE7"/>
            </w:tcBorders>
            <w:tcMar>
              <w:top w:w="80" w:type="dxa"/>
              <w:bottom w:w="80" w:type="dxa"/>
              <w:start w:w="120" w:type="dxa"/>
              <w:end w:w="120" w:type="dxa"/>
            </w:tcMar>
          </w:tcPr>
          <w:p>
            <w:pPr>
              <w:spacing w:before="0" w:after="0" w:line="240" w:lineRule="auto"/>
            </w:pPr>
            <w:r>
              <w:rPr>
                <w:rFonts w:ascii="Calibri" w:hAnsi="Calibri"/>
                <w:b/>
                <w:color w:val="0B2545"/>
                <w:sz w:val="18"/>
              </w:rPr>
              <w:t>Provider</w:t>
            </w:r>
          </w:p>
        </w:tc>
        <w:tc>
          <w:tcPr>
            <w:tcW w:type="dxa" w:w="2700"/>
            <w:vAlign w:val="center"/>
            <w:shd w:fill="F2F4F7"/>
            <w:tcBorders>
              <w:top w:val="single" w:sz="6" w:space="0" w:color="D9DEE7"/>
              <w:start w:val="single" w:sz="6" w:space="0" w:color="D9DEE7"/>
              <w:bottom w:val="single" w:sz="6" w:space="0" w:color="D9DEE7"/>
              <w:end w:val="single" w:sz="6" w:space="0" w:color="D9DEE7"/>
              <w:insideH w:val="single" w:sz="6" w:space="0" w:color="D9DEE7"/>
              <w:insideV w:val="single" w:sz="6" w:space="0" w:color="D9DEE7"/>
            </w:tcBorders>
            <w:tcMar>
              <w:top w:w="80" w:type="dxa"/>
              <w:bottom w:w="80" w:type="dxa"/>
              <w:start w:w="120" w:type="dxa"/>
              <w:end w:w="120" w:type="dxa"/>
            </w:tcMar>
          </w:tcPr>
          <w:p>
            <w:pPr>
              <w:spacing w:before="0" w:after="0" w:line="240" w:lineRule="auto"/>
            </w:pPr>
            <w:r>
              <w:rPr>
                <w:rFonts w:ascii="Calibri" w:hAnsi="Calibri"/>
                <w:b/>
                <w:color w:val="0B2545"/>
                <w:sz w:val="18"/>
              </w:rPr>
              <w:t>Authentication</w:t>
            </w:r>
          </w:p>
        </w:tc>
        <w:tc>
          <w:tcPr>
            <w:tcW w:type="dxa" w:w="2760"/>
            <w:vAlign w:val="center"/>
            <w:shd w:fill="F2F4F7"/>
            <w:tcBorders>
              <w:top w:val="single" w:sz="6" w:space="0" w:color="D9DEE7"/>
              <w:start w:val="single" w:sz="6" w:space="0" w:color="D9DEE7"/>
              <w:bottom w:val="single" w:sz="6" w:space="0" w:color="D9DEE7"/>
              <w:end w:val="single" w:sz="6" w:space="0" w:color="D9DEE7"/>
              <w:insideH w:val="single" w:sz="6" w:space="0" w:color="D9DEE7"/>
              <w:insideV w:val="single" w:sz="6" w:space="0" w:color="D9DEE7"/>
            </w:tcBorders>
            <w:tcMar>
              <w:top w:w="80" w:type="dxa"/>
              <w:bottom w:w="80" w:type="dxa"/>
              <w:start w:w="120" w:type="dxa"/>
              <w:end w:w="120" w:type="dxa"/>
            </w:tcMar>
          </w:tcPr>
          <w:p>
            <w:pPr>
              <w:spacing w:before="0" w:after="0" w:line="240" w:lineRule="auto"/>
            </w:pPr>
            <w:r>
              <w:rPr>
                <w:rFonts w:ascii="Calibri" w:hAnsi="Calibri"/>
                <w:b/>
                <w:color w:val="0B2545"/>
                <w:sz w:val="18"/>
              </w:rPr>
              <w:t>Usage charged to</w:t>
            </w:r>
          </w:p>
        </w:tc>
        <w:tc>
          <w:tcPr>
            <w:tcW w:type="dxa" w:w="2220"/>
            <w:vAlign w:val="center"/>
            <w:shd w:fill="F2F4F7"/>
            <w:tcBorders>
              <w:top w:val="single" w:sz="6" w:space="0" w:color="D9DEE7"/>
              <w:start w:val="single" w:sz="6" w:space="0" w:color="D9DEE7"/>
              <w:bottom w:val="single" w:sz="6" w:space="0" w:color="D9DEE7"/>
              <w:end w:val="single" w:sz="6" w:space="0" w:color="D9DEE7"/>
              <w:insideH w:val="single" w:sz="6" w:space="0" w:color="D9DEE7"/>
              <w:insideV w:val="single" w:sz="6" w:space="0" w:color="D9DEE7"/>
            </w:tcBorders>
            <w:tcMar>
              <w:top w:w="80" w:type="dxa"/>
              <w:bottom w:w="80" w:type="dxa"/>
              <w:start w:w="120" w:type="dxa"/>
              <w:end w:w="120" w:type="dxa"/>
            </w:tcMar>
          </w:tcPr>
          <w:p>
            <w:pPr>
              <w:spacing w:before="0" w:after="0" w:line="240" w:lineRule="auto"/>
            </w:pPr>
            <w:r>
              <w:rPr>
                <w:rFonts w:ascii="Calibri" w:hAnsi="Calibri"/>
                <w:b/>
                <w:color w:val="0B2545"/>
                <w:sz w:val="18"/>
              </w:rPr>
              <w:t>Maturity</w:t>
            </w:r>
          </w:p>
        </w:tc>
      </w:tr>
      <w:tr>
        <w:trPr>
          <w:cantSplit/>
        </w:trPr>
        <w:tc>
          <w:tcPr>
            <w:tcW w:type="dxa" w:w="1680"/>
            <w:vAlign w:val="center"/>
            <w:shd w:fill="FFFFFF"/>
            <w:tcBorders>
              <w:top w:val="single" w:sz="6" w:space="0" w:color="D9DEE7"/>
              <w:start w:val="single" w:sz="6" w:space="0" w:color="D9DEE7"/>
              <w:bottom w:val="single" w:sz="6" w:space="0" w:color="D9DEE7"/>
              <w:end w:val="single" w:sz="6" w:space="0" w:color="D9DEE7"/>
              <w:insideH w:val="single" w:sz="6" w:space="0" w:color="D9DEE7"/>
              <w:insideV w:val="single" w:sz="6" w:space="0" w:color="D9DEE7"/>
            </w:tcBorders>
            <w:tcMar>
              <w:top w:w="80" w:type="dxa"/>
              <w:bottom w:w="80" w:type="dxa"/>
              <w:start w:w="120" w:type="dxa"/>
              <w:end w:w="120" w:type="dxa"/>
            </w:tcMar>
          </w:tcPr>
          <w:p>
            <w:pPr>
              <w:spacing w:before="0" w:after="0" w:line="240" w:lineRule="auto"/>
            </w:pPr>
            <w:r>
              <w:rPr>
                <w:rFonts w:ascii="Calibri" w:hAnsi="Calibri"/>
                <w:b/>
                <w:color w:val="17232E"/>
                <w:sz w:val="17"/>
              </w:rPr>
              <w:t>Anthropic</w:t>
            </w:r>
          </w:p>
        </w:tc>
        <w:tc>
          <w:tcPr>
            <w:tcW w:type="dxa" w:w="2700"/>
            <w:vAlign w:val="center"/>
            <w:shd w:fill="FFFFFF"/>
            <w:tcBorders>
              <w:top w:val="single" w:sz="6" w:space="0" w:color="D9DEE7"/>
              <w:start w:val="single" w:sz="6" w:space="0" w:color="D9DEE7"/>
              <w:bottom w:val="single" w:sz="6" w:space="0" w:color="D9DEE7"/>
              <w:end w:val="single" w:sz="6" w:space="0" w:color="D9DEE7"/>
              <w:insideH w:val="single" w:sz="6" w:space="0" w:color="D9DEE7"/>
              <w:insideV w:val="single" w:sz="6" w:space="0" w:color="D9DEE7"/>
            </w:tcBorders>
            <w:tcMar>
              <w:top w:w="80" w:type="dxa"/>
              <w:bottom w:w="80" w:type="dxa"/>
              <w:start w:w="120" w:type="dxa"/>
              <w:end w:w="120" w:type="dxa"/>
            </w:tcMar>
          </w:tcPr>
          <w:p>
            <w:pPr>
              <w:spacing w:before="0" w:after="0" w:line="240" w:lineRule="auto"/>
            </w:pPr>
            <w:r>
              <w:rPr>
                <w:rFonts w:ascii="Calibri" w:hAnsi="Calibri"/>
                <w:b w:val="0"/>
                <w:color w:val="17232E"/>
                <w:sz w:val="17"/>
              </w:rPr>
              <w:t>Claude OAuth or Anthropic API key</w:t>
            </w:r>
          </w:p>
        </w:tc>
        <w:tc>
          <w:tcPr>
            <w:tcW w:type="dxa" w:w="2760"/>
            <w:vAlign w:val="center"/>
            <w:shd w:fill="FFFFFF"/>
            <w:tcBorders>
              <w:top w:val="single" w:sz="6" w:space="0" w:color="D9DEE7"/>
              <w:start w:val="single" w:sz="6" w:space="0" w:color="D9DEE7"/>
              <w:bottom w:val="single" w:sz="6" w:space="0" w:color="D9DEE7"/>
              <w:end w:val="single" w:sz="6" w:space="0" w:color="D9DEE7"/>
              <w:insideH w:val="single" w:sz="6" w:space="0" w:color="D9DEE7"/>
              <w:insideV w:val="single" w:sz="6" w:space="0" w:color="D9DEE7"/>
            </w:tcBorders>
            <w:tcMar>
              <w:top w:w="80" w:type="dxa"/>
              <w:bottom w:w="80" w:type="dxa"/>
              <w:start w:w="120" w:type="dxa"/>
              <w:end w:w="120" w:type="dxa"/>
            </w:tcMar>
          </w:tcPr>
          <w:p>
            <w:pPr>
              <w:spacing w:before="0" w:after="0" w:line="240" w:lineRule="auto"/>
            </w:pPr>
            <w:r>
              <w:rPr>
                <w:rFonts w:ascii="Calibri" w:hAnsi="Calibri"/>
                <w:b w:val="0"/>
                <w:color w:val="17232E"/>
                <w:sz w:val="17"/>
              </w:rPr>
              <w:t>Anthropic / Claude</w:t>
            </w:r>
          </w:p>
        </w:tc>
        <w:tc>
          <w:tcPr>
            <w:tcW w:type="dxa" w:w="2220"/>
            <w:vAlign w:val="center"/>
            <w:shd w:fill="FFFFFF"/>
            <w:tcBorders>
              <w:top w:val="single" w:sz="6" w:space="0" w:color="D9DEE7"/>
              <w:start w:val="single" w:sz="6" w:space="0" w:color="D9DEE7"/>
              <w:bottom w:val="single" w:sz="6" w:space="0" w:color="D9DEE7"/>
              <w:end w:val="single" w:sz="6" w:space="0" w:color="D9DEE7"/>
              <w:insideH w:val="single" w:sz="6" w:space="0" w:color="D9DEE7"/>
              <w:insideV w:val="single" w:sz="6" w:space="0" w:color="D9DEE7"/>
            </w:tcBorders>
            <w:tcMar>
              <w:top w:w="80" w:type="dxa"/>
              <w:bottom w:w="80" w:type="dxa"/>
              <w:start w:w="120" w:type="dxa"/>
              <w:end w:w="120" w:type="dxa"/>
            </w:tcMar>
          </w:tcPr>
          <w:p>
            <w:pPr>
              <w:spacing w:before="0" w:after="0" w:line="240" w:lineRule="auto"/>
            </w:pPr>
            <w:r>
              <w:rPr>
                <w:rFonts w:ascii="Calibri" w:hAnsi="Calibri"/>
                <w:b/>
                <w:color w:val="147D64"/>
                <w:sz w:val="17"/>
              </w:rPr>
              <w:t>Stable</w:t>
            </w:r>
          </w:p>
        </w:tc>
      </w:tr>
      <w:tr>
        <w:trPr>
          <w:cantSplit/>
        </w:trPr>
        <w:tc>
          <w:tcPr>
            <w:tcW w:type="dxa" w:w="1680"/>
            <w:vAlign w:val="center"/>
            <w:shd w:fill="FFFFFF"/>
            <w:tcBorders>
              <w:top w:val="single" w:sz="6" w:space="0" w:color="D9DEE7"/>
              <w:start w:val="single" w:sz="6" w:space="0" w:color="D9DEE7"/>
              <w:bottom w:val="single" w:sz="6" w:space="0" w:color="D9DEE7"/>
              <w:end w:val="single" w:sz="6" w:space="0" w:color="D9DEE7"/>
              <w:insideH w:val="single" w:sz="6" w:space="0" w:color="D9DEE7"/>
              <w:insideV w:val="single" w:sz="6" w:space="0" w:color="D9DEE7"/>
            </w:tcBorders>
            <w:tcMar>
              <w:top w:w="80" w:type="dxa"/>
              <w:bottom w:w="80" w:type="dxa"/>
              <w:start w:w="120" w:type="dxa"/>
              <w:end w:w="120" w:type="dxa"/>
            </w:tcMar>
          </w:tcPr>
          <w:p>
            <w:pPr>
              <w:spacing w:before="0" w:after="0" w:line="240" w:lineRule="auto"/>
            </w:pPr>
            <w:r>
              <w:rPr>
                <w:rFonts w:ascii="Calibri" w:hAnsi="Calibri"/>
                <w:b/>
                <w:color w:val="17232E"/>
                <w:sz w:val="17"/>
              </w:rPr>
              <w:t>Synthetic</w:t>
            </w:r>
          </w:p>
        </w:tc>
        <w:tc>
          <w:tcPr>
            <w:tcW w:type="dxa" w:w="2700"/>
            <w:vAlign w:val="center"/>
            <w:shd w:fill="FFFFFF"/>
            <w:tcBorders>
              <w:top w:val="single" w:sz="6" w:space="0" w:color="D9DEE7"/>
              <w:start w:val="single" w:sz="6" w:space="0" w:color="D9DEE7"/>
              <w:bottom w:val="single" w:sz="6" w:space="0" w:color="D9DEE7"/>
              <w:end w:val="single" w:sz="6" w:space="0" w:color="D9DEE7"/>
              <w:insideH w:val="single" w:sz="6" w:space="0" w:color="D9DEE7"/>
              <w:insideV w:val="single" w:sz="6" w:space="0" w:color="D9DEE7"/>
            </w:tcBorders>
            <w:tcMar>
              <w:top w:w="80" w:type="dxa"/>
              <w:bottom w:w="80" w:type="dxa"/>
              <w:start w:w="120" w:type="dxa"/>
              <w:end w:w="120" w:type="dxa"/>
            </w:tcMar>
          </w:tcPr>
          <w:p>
            <w:pPr>
              <w:spacing w:before="0" w:after="0" w:line="240" w:lineRule="auto"/>
            </w:pPr>
            <w:r>
              <w:rPr>
                <w:rFonts w:ascii="Calibri" w:hAnsi="Calibri"/>
                <w:b w:val="0"/>
                <w:color w:val="17232E"/>
                <w:sz w:val="17"/>
              </w:rPr>
              <w:t>Synthetic API token</w:t>
            </w:r>
          </w:p>
        </w:tc>
        <w:tc>
          <w:tcPr>
            <w:tcW w:type="dxa" w:w="2760"/>
            <w:vAlign w:val="center"/>
            <w:shd w:fill="FFFFFF"/>
            <w:tcBorders>
              <w:top w:val="single" w:sz="6" w:space="0" w:color="D9DEE7"/>
              <w:start w:val="single" w:sz="6" w:space="0" w:color="D9DEE7"/>
              <w:bottom w:val="single" w:sz="6" w:space="0" w:color="D9DEE7"/>
              <w:end w:val="single" w:sz="6" w:space="0" w:color="D9DEE7"/>
              <w:insideH w:val="single" w:sz="6" w:space="0" w:color="D9DEE7"/>
              <w:insideV w:val="single" w:sz="6" w:space="0" w:color="D9DEE7"/>
            </w:tcBorders>
            <w:tcMar>
              <w:top w:w="80" w:type="dxa"/>
              <w:bottom w:w="80" w:type="dxa"/>
              <w:start w:w="120" w:type="dxa"/>
              <w:end w:w="120" w:type="dxa"/>
            </w:tcMar>
          </w:tcPr>
          <w:p>
            <w:pPr>
              <w:spacing w:before="0" w:after="0" w:line="240" w:lineRule="auto"/>
            </w:pPr>
            <w:r>
              <w:rPr>
                <w:rFonts w:ascii="Calibri" w:hAnsi="Calibri"/>
                <w:b w:val="0"/>
                <w:color w:val="17232E"/>
                <w:sz w:val="17"/>
              </w:rPr>
              <w:t>Synthetic quota</w:t>
            </w:r>
          </w:p>
        </w:tc>
        <w:tc>
          <w:tcPr>
            <w:tcW w:type="dxa" w:w="2220"/>
            <w:vAlign w:val="center"/>
            <w:shd w:fill="FFFFFF"/>
            <w:tcBorders>
              <w:top w:val="single" w:sz="6" w:space="0" w:color="D9DEE7"/>
              <w:start w:val="single" w:sz="6" w:space="0" w:color="D9DEE7"/>
              <w:bottom w:val="single" w:sz="6" w:space="0" w:color="D9DEE7"/>
              <w:end w:val="single" w:sz="6" w:space="0" w:color="D9DEE7"/>
              <w:insideH w:val="single" w:sz="6" w:space="0" w:color="D9DEE7"/>
              <w:insideV w:val="single" w:sz="6" w:space="0" w:color="D9DEE7"/>
            </w:tcBorders>
            <w:tcMar>
              <w:top w:w="80" w:type="dxa"/>
              <w:bottom w:w="80" w:type="dxa"/>
              <w:start w:w="120" w:type="dxa"/>
              <w:end w:w="120" w:type="dxa"/>
            </w:tcMar>
          </w:tcPr>
          <w:p>
            <w:pPr>
              <w:spacing w:before="0" w:after="0" w:line="240" w:lineRule="auto"/>
            </w:pPr>
            <w:r>
              <w:rPr>
                <w:rFonts w:ascii="Calibri" w:hAnsi="Calibri"/>
                <w:b/>
                <w:color w:val="147D64"/>
                <w:sz w:val="17"/>
              </w:rPr>
              <w:t>Stable</w:t>
            </w:r>
          </w:p>
        </w:tc>
      </w:tr>
      <w:tr>
        <w:trPr>
          <w:cantSplit/>
        </w:trPr>
        <w:tc>
          <w:tcPr>
            <w:tcW w:type="dxa" w:w="1680"/>
            <w:vAlign w:val="center"/>
            <w:shd w:fill="FFFFFF"/>
            <w:tcBorders>
              <w:top w:val="single" w:sz="6" w:space="0" w:color="D9DEE7"/>
              <w:start w:val="single" w:sz="6" w:space="0" w:color="D9DEE7"/>
              <w:bottom w:val="single" w:sz="6" w:space="0" w:color="D9DEE7"/>
              <w:end w:val="single" w:sz="6" w:space="0" w:color="D9DEE7"/>
              <w:insideH w:val="single" w:sz="6" w:space="0" w:color="D9DEE7"/>
              <w:insideV w:val="single" w:sz="6" w:space="0" w:color="D9DEE7"/>
            </w:tcBorders>
            <w:tcMar>
              <w:top w:w="80" w:type="dxa"/>
              <w:bottom w:w="80" w:type="dxa"/>
              <w:start w:w="120" w:type="dxa"/>
              <w:end w:w="120" w:type="dxa"/>
            </w:tcMar>
          </w:tcPr>
          <w:p>
            <w:pPr>
              <w:spacing w:before="0" w:after="0" w:line="240" w:lineRule="auto"/>
            </w:pPr>
            <w:r>
              <w:rPr>
                <w:rFonts w:ascii="Calibri" w:hAnsi="Calibri"/>
                <w:b/>
                <w:color w:val="17232E"/>
                <w:sz w:val="17"/>
              </w:rPr>
              <w:t>OpenAI API</w:t>
            </w:r>
          </w:p>
        </w:tc>
        <w:tc>
          <w:tcPr>
            <w:tcW w:type="dxa" w:w="2700"/>
            <w:vAlign w:val="center"/>
            <w:shd w:fill="FFFFFF"/>
            <w:tcBorders>
              <w:top w:val="single" w:sz="6" w:space="0" w:color="D9DEE7"/>
              <w:start w:val="single" w:sz="6" w:space="0" w:color="D9DEE7"/>
              <w:bottom w:val="single" w:sz="6" w:space="0" w:color="D9DEE7"/>
              <w:end w:val="single" w:sz="6" w:space="0" w:color="D9DEE7"/>
              <w:insideH w:val="single" w:sz="6" w:space="0" w:color="D9DEE7"/>
              <w:insideV w:val="single" w:sz="6" w:space="0" w:color="D9DEE7"/>
            </w:tcBorders>
            <w:tcMar>
              <w:top w:w="80" w:type="dxa"/>
              <w:bottom w:w="80" w:type="dxa"/>
              <w:start w:w="120" w:type="dxa"/>
              <w:end w:w="120" w:type="dxa"/>
            </w:tcMar>
          </w:tcPr>
          <w:p>
            <w:pPr>
              <w:spacing w:before="0" w:after="0" w:line="240" w:lineRule="auto"/>
            </w:pPr>
            <w:r>
              <w:rPr>
                <w:rFonts w:ascii="Calibri" w:hAnsi="Calibri"/>
                <w:b w:val="0"/>
                <w:color w:val="17232E"/>
                <w:sz w:val="17"/>
              </w:rPr>
              <w:t>OpenAI Platform API key</w:t>
            </w:r>
          </w:p>
        </w:tc>
        <w:tc>
          <w:tcPr>
            <w:tcW w:type="dxa" w:w="2760"/>
            <w:vAlign w:val="center"/>
            <w:shd w:fill="FFFFFF"/>
            <w:tcBorders>
              <w:top w:val="single" w:sz="6" w:space="0" w:color="D9DEE7"/>
              <w:start w:val="single" w:sz="6" w:space="0" w:color="D9DEE7"/>
              <w:bottom w:val="single" w:sz="6" w:space="0" w:color="D9DEE7"/>
              <w:end w:val="single" w:sz="6" w:space="0" w:color="D9DEE7"/>
              <w:insideH w:val="single" w:sz="6" w:space="0" w:color="D9DEE7"/>
              <w:insideV w:val="single" w:sz="6" w:space="0" w:color="D9DEE7"/>
            </w:tcBorders>
            <w:tcMar>
              <w:top w:w="80" w:type="dxa"/>
              <w:bottom w:w="80" w:type="dxa"/>
              <w:start w:w="120" w:type="dxa"/>
              <w:end w:w="120" w:type="dxa"/>
            </w:tcMar>
          </w:tcPr>
          <w:p>
            <w:pPr>
              <w:spacing w:before="0" w:after="0" w:line="240" w:lineRule="auto"/>
            </w:pPr>
            <w:r>
              <w:rPr>
                <w:rFonts w:ascii="Calibri" w:hAnsi="Calibri"/>
                <w:b w:val="0"/>
                <w:color w:val="17232E"/>
                <w:sz w:val="17"/>
              </w:rPr>
              <w:t>OpenAI API billing</w:t>
            </w:r>
          </w:p>
        </w:tc>
        <w:tc>
          <w:tcPr>
            <w:tcW w:type="dxa" w:w="2220"/>
            <w:vAlign w:val="center"/>
            <w:shd w:fill="FFFFFF"/>
            <w:tcBorders>
              <w:top w:val="single" w:sz="6" w:space="0" w:color="D9DEE7"/>
              <w:start w:val="single" w:sz="6" w:space="0" w:color="D9DEE7"/>
              <w:bottom w:val="single" w:sz="6" w:space="0" w:color="D9DEE7"/>
              <w:end w:val="single" w:sz="6" w:space="0" w:color="D9DEE7"/>
              <w:insideH w:val="single" w:sz="6" w:space="0" w:color="D9DEE7"/>
              <w:insideV w:val="single" w:sz="6" w:space="0" w:color="D9DEE7"/>
            </w:tcBorders>
            <w:tcMar>
              <w:top w:w="80" w:type="dxa"/>
              <w:bottom w:w="80" w:type="dxa"/>
              <w:start w:w="120" w:type="dxa"/>
              <w:end w:w="120" w:type="dxa"/>
            </w:tcMar>
          </w:tcPr>
          <w:p>
            <w:pPr>
              <w:spacing w:before="0" w:after="0" w:line="240" w:lineRule="auto"/>
            </w:pPr>
            <w:r>
              <w:rPr>
                <w:rFonts w:ascii="Calibri" w:hAnsi="Calibri"/>
                <w:b/>
                <w:color w:val="8C6500"/>
                <w:sz w:val="17"/>
              </w:rPr>
              <w:t>Release candidate</w:t>
            </w:r>
          </w:p>
        </w:tc>
      </w:tr>
      <w:tr>
        <w:trPr>
          <w:cantSplit/>
        </w:trPr>
        <w:tc>
          <w:tcPr>
            <w:tcW w:type="dxa" w:w="1680"/>
            <w:vAlign w:val="center"/>
            <w:shd w:fill="FFFFFF"/>
            <w:tcBorders>
              <w:top w:val="single" w:sz="6" w:space="0" w:color="D9DEE7"/>
              <w:start w:val="single" w:sz="6" w:space="0" w:color="D9DEE7"/>
              <w:bottom w:val="single" w:sz="6" w:space="0" w:color="D9DEE7"/>
              <w:end w:val="single" w:sz="6" w:space="0" w:color="D9DEE7"/>
              <w:insideH w:val="single" w:sz="6" w:space="0" w:color="D9DEE7"/>
              <w:insideV w:val="single" w:sz="6" w:space="0" w:color="D9DEE7"/>
            </w:tcBorders>
            <w:tcMar>
              <w:top w:w="80" w:type="dxa"/>
              <w:bottom w:w="80" w:type="dxa"/>
              <w:start w:w="120" w:type="dxa"/>
              <w:end w:w="120" w:type="dxa"/>
            </w:tcMar>
          </w:tcPr>
          <w:p>
            <w:pPr>
              <w:spacing w:before="0" w:after="0" w:line="240" w:lineRule="auto"/>
            </w:pPr>
            <w:r>
              <w:rPr>
                <w:rFonts w:ascii="Calibri" w:hAnsi="Calibri"/>
                <w:b/>
                <w:color w:val="17232E"/>
                <w:sz w:val="17"/>
              </w:rPr>
              <w:t>ChatGPT / Codex</w:t>
            </w:r>
          </w:p>
        </w:tc>
        <w:tc>
          <w:tcPr>
            <w:tcW w:type="dxa" w:w="2700"/>
            <w:vAlign w:val="center"/>
            <w:shd w:fill="FFFFFF"/>
            <w:tcBorders>
              <w:top w:val="single" w:sz="6" w:space="0" w:color="D9DEE7"/>
              <w:start w:val="single" w:sz="6" w:space="0" w:color="D9DEE7"/>
              <w:bottom w:val="single" w:sz="6" w:space="0" w:color="D9DEE7"/>
              <w:end w:val="single" w:sz="6" w:space="0" w:color="D9DEE7"/>
              <w:insideH w:val="single" w:sz="6" w:space="0" w:color="D9DEE7"/>
              <w:insideV w:val="single" w:sz="6" w:space="0" w:color="D9DEE7"/>
            </w:tcBorders>
            <w:tcMar>
              <w:top w:w="80" w:type="dxa"/>
              <w:bottom w:w="80" w:type="dxa"/>
              <w:start w:w="120" w:type="dxa"/>
              <w:end w:w="120" w:type="dxa"/>
            </w:tcMar>
          </w:tcPr>
          <w:p>
            <w:pPr>
              <w:spacing w:before="0" w:after="0" w:line="240" w:lineRule="auto"/>
            </w:pPr>
            <w:r>
              <w:rPr>
                <w:rFonts w:ascii="Calibri" w:hAnsi="Calibri"/>
                <w:b w:val="0"/>
                <w:color w:val="17232E"/>
                <w:sz w:val="17"/>
              </w:rPr>
              <w:t>Managed Codex browser sign-in</w:t>
            </w:r>
          </w:p>
        </w:tc>
        <w:tc>
          <w:tcPr>
            <w:tcW w:type="dxa" w:w="2760"/>
            <w:vAlign w:val="center"/>
            <w:shd w:fill="FFFFFF"/>
            <w:tcBorders>
              <w:top w:val="single" w:sz="6" w:space="0" w:color="D9DEE7"/>
              <w:start w:val="single" w:sz="6" w:space="0" w:color="D9DEE7"/>
              <w:bottom w:val="single" w:sz="6" w:space="0" w:color="D9DEE7"/>
              <w:end w:val="single" w:sz="6" w:space="0" w:color="D9DEE7"/>
              <w:insideH w:val="single" w:sz="6" w:space="0" w:color="D9DEE7"/>
              <w:insideV w:val="single" w:sz="6" w:space="0" w:color="D9DEE7"/>
            </w:tcBorders>
            <w:tcMar>
              <w:top w:w="80" w:type="dxa"/>
              <w:bottom w:w="80" w:type="dxa"/>
              <w:start w:w="120" w:type="dxa"/>
              <w:end w:w="120" w:type="dxa"/>
            </w:tcMar>
          </w:tcPr>
          <w:p>
            <w:pPr>
              <w:spacing w:before="0" w:after="0" w:line="240" w:lineRule="auto"/>
            </w:pPr>
            <w:r>
              <w:rPr>
                <w:rFonts w:ascii="Calibri" w:hAnsi="Calibri"/>
                <w:b w:val="0"/>
                <w:color w:val="17232E"/>
                <w:sz w:val="17"/>
              </w:rPr>
              <w:t>ChatGPT / Codex allowance</w:t>
            </w:r>
          </w:p>
        </w:tc>
        <w:tc>
          <w:tcPr>
            <w:tcW w:type="dxa" w:w="2220"/>
            <w:vAlign w:val="center"/>
            <w:shd w:fill="FFFFFF"/>
            <w:tcBorders>
              <w:top w:val="single" w:sz="6" w:space="0" w:color="D9DEE7"/>
              <w:start w:val="single" w:sz="6" w:space="0" w:color="D9DEE7"/>
              <w:bottom w:val="single" w:sz="6" w:space="0" w:color="D9DEE7"/>
              <w:end w:val="single" w:sz="6" w:space="0" w:color="D9DEE7"/>
              <w:insideH w:val="single" w:sz="6" w:space="0" w:color="D9DEE7"/>
              <w:insideV w:val="single" w:sz="6" w:space="0" w:color="D9DEE7"/>
            </w:tcBorders>
            <w:tcMar>
              <w:top w:w="80" w:type="dxa"/>
              <w:bottom w:w="80" w:type="dxa"/>
              <w:start w:w="120" w:type="dxa"/>
              <w:end w:w="120" w:type="dxa"/>
            </w:tcMar>
          </w:tcPr>
          <w:p>
            <w:pPr>
              <w:spacing w:before="0" w:after="0" w:line="240" w:lineRule="auto"/>
            </w:pPr>
            <w:r>
              <w:rPr>
                <w:rFonts w:ascii="Calibri" w:hAnsi="Calibri"/>
                <w:b/>
                <w:color w:val="B83252"/>
                <w:sz w:val="17"/>
              </w:rPr>
              <w:t>Experimental</w:t>
            </w:r>
          </w:p>
        </w:tc>
      </w:tr>
    </w:tbl>
    <w:p>
      <w:pPr>
        <w:widowControl/>
        <w:spacing w:after="40"/>
      </w:pPr>
    </w:p>
    <w:p>
      <w:pPr>
        <w:pStyle w:val="Heading2"/>
        <w:keepNext/>
      </w:pPr>
      <w:r>
        <w:t>Default OpenAI role routing</w:t>
      </w:r>
    </w:p>
    <w:tbl>
      <w:tblPr>
        <w:tblW w:type="dxa" w:w="9360"/>
        <w:jc w:val="left"/>
        <w:tblLayout w:type="fixed"/>
        <w:tblLook w:firstColumn="1" w:firstRow="1" w:lastColumn="0" w:lastRow="0" w:noHBand="0" w:noVBand="1" w:val="04A0"/>
        <w:tblInd w:type="dxa" w:w="120"/>
      </w:tblPr>
      <w:tblGrid>
        <w:gridCol w:w="3300"/>
        <w:gridCol w:w="3900"/>
        <w:gridCol w:w="2160"/>
      </w:tblGrid>
      <w:tr>
        <w:trPr>
          <w:tblHeader w:val="true"/>
          <w:cantSplit/>
        </w:trPr>
        <w:tc>
          <w:tcPr>
            <w:tcW w:type="dxa" w:w="3300"/>
            <w:vAlign w:val="center"/>
            <w:shd w:fill="F2F4F7"/>
            <w:tcBorders>
              <w:top w:val="single" w:sz="6" w:space="0" w:color="D9DEE7"/>
              <w:start w:val="single" w:sz="6" w:space="0" w:color="D9DEE7"/>
              <w:bottom w:val="single" w:sz="6" w:space="0" w:color="D9DEE7"/>
              <w:end w:val="single" w:sz="6" w:space="0" w:color="D9DEE7"/>
              <w:insideH w:val="single" w:sz="6" w:space="0" w:color="D9DEE7"/>
              <w:insideV w:val="single" w:sz="6" w:space="0" w:color="D9DEE7"/>
            </w:tcBorders>
            <w:tcMar>
              <w:top w:w="80" w:type="dxa"/>
              <w:bottom w:w="80" w:type="dxa"/>
              <w:start w:w="120" w:type="dxa"/>
              <w:end w:w="120" w:type="dxa"/>
            </w:tcMar>
          </w:tcPr>
          <w:p>
            <w:pPr>
              <w:spacing w:before="0" w:after="0" w:line="240" w:lineRule="auto"/>
            </w:pPr>
            <w:r>
              <w:rPr>
                <w:rFonts w:ascii="Calibri" w:hAnsi="Calibri"/>
                <w:b/>
                <w:color w:val="0B2545"/>
                <w:sz w:val="18"/>
              </w:rPr>
              <w:t>Claude role</w:t>
            </w:r>
          </w:p>
        </w:tc>
        <w:tc>
          <w:tcPr>
            <w:tcW w:type="dxa" w:w="3900"/>
            <w:vAlign w:val="center"/>
            <w:shd w:fill="F2F4F7"/>
            <w:tcBorders>
              <w:top w:val="single" w:sz="6" w:space="0" w:color="D9DEE7"/>
              <w:start w:val="single" w:sz="6" w:space="0" w:color="D9DEE7"/>
              <w:bottom w:val="single" w:sz="6" w:space="0" w:color="D9DEE7"/>
              <w:end w:val="single" w:sz="6" w:space="0" w:color="D9DEE7"/>
              <w:insideH w:val="single" w:sz="6" w:space="0" w:color="D9DEE7"/>
              <w:insideV w:val="single" w:sz="6" w:space="0" w:color="D9DEE7"/>
            </w:tcBorders>
            <w:tcMar>
              <w:top w:w="80" w:type="dxa"/>
              <w:bottom w:w="80" w:type="dxa"/>
              <w:start w:w="120" w:type="dxa"/>
              <w:end w:w="120" w:type="dxa"/>
            </w:tcMar>
          </w:tcPr>
          <w:p>
            <w:pPr>
              <w:spacing w:before="0" w:after="0" w:line="240" w:lineRule="auto"/>
            </w:pPr>
            <w:r>
              <w:rPr>
                <w:rFonts w:ascii="Calibri" w:hAnsi="Calibri"/>
                <w:b/>
                <w:color w:val="0B2545"/>
                <w:sz w:val="18"/>
              </w:rPr>
              <w:t>OpenAI model</w:t>
            </w:r>
          </w:p>
        </w:tc>
        <w:tc>
          <w:tcPr>
            <w:tcW w:type="dxa" w:w="2160"/>
            <w:vAlign w:val="center"/>
            <w:shd w:fill="F2F4F7"/>
            <w:tcBorders>
              <w:top w:val="single" w:sz="6" w:space="0" w:color="D9DEE7"/>
              <w:start w:val="single" w:sz="6" w:space="0" w:color="D9DEE7"/>
              <w:bottom w:val="single" w:sz="6" w:space="0" w:color="D9DEE7"/>
              <w:end w:val="single" w:sz="6" w:space="0" w:color="D9DEE7"/>
              <w:insideH w:val="single" w:sz="6" w:space="0" w:color="D9DEE7"/>
              <w:insideV w:val="single" w:sz="6" w:space="0" w:color="D9DEE7"/>
            </w:tcBorders>
            <w:tcMar>
              <w:top w:w="80" w:type="dxa"/>
              <w:bottom w:w="80" w:type="dxa"/>
              <w:start w:w="120" w:type="dxa"/>
              <w:end w:w="120" w:type="dxa"/>
            </w:tcMar>
          </w:tcPr>
          <w:p>
            <w:pPr>
              <w:spacing w:before="0" w:after="0" w:line="240" w:lineRule="auto"/>
            </w:pPr>
            <w:r>
              <w:rPr>
                <w:rFonts w:ascii="Calibri" w:hAnsi="Calibri"/>
                <w:b/>
                <w:color w:val="0B2545"/>
                <w:sz w:val="18"/>
              </w:rPr>
              <w:t>Reasoning</w:t>
            </w:r>
          </w:p>
        </w:tc>
      </w:tr>
      <w:tr>
        <w:trPr>
          <w:cantSplit/>
        </w:trPr>
        <w:tc>
          <w:tcPr>
            <w:tcW w:type="dxa" w:w="3300"/>
            <w:vAlign w:val="center"/>
            <w:shd w:fill="FFFFFF"/>
            <w:tcBorders>
              <w:top w:val="single" w:sz="6" w:space="0" w:color="D9DEE7"/>
              <w:start w:val="single" w:sz="6" w:space="0" w:color="D9DEE7"/>
              <w:bottom w:val="single" w:sz="6" w:space="0" w:color="D9DEE7"/>
              <w:end w:val="single" w:sz="6" w:space="0" w:color="D9DEE7"/>
              <w:insideH w:val="single" w:sz="6" w:space="0" w:color="D9DEE7"/>
              <w:insideV w:val="single" w:sz="6" w:space="0" w:color="D9DEE7"/>
            </w:tcBorders>
            <w:tcMar>
              <w:top w:w="80" w:type="dxa"/>
              <w:bottom w:w="80" w:type="dxa"/>
              <w:start w:w="120" w:type="dxa"/>
              <w:end w:w="120" w:type="dxa"/>
            </w:tcMar>
          </w:tcPr>
          <w:p>
            <w:pPr>
              <w:spacing w:before="0" w:after="0" w:line="240" w:lineRule="auto"/>
            </w:pPr>
            <w:r>
              <w:rPr>
                <w:rFonts w:ascii="Calibri" w:hAnsi="Calibri"/>
                <w:b/>
                <w:color w:val="17232E"/>
                <w:sz w:val="18"/>
              </w:rPr>
              <w:t>Default and Opus</w:t>
            </w:r>
          </w:p>
        </w:tc>
        <w:tc>
          <w:tcPr>
            <w:tcW w:type="dxa" w:w="3900"/>
            <w:vAlign w:val="center"/>
            <w:shd w:fill="FFFFFF"/>
            <w:tcBorders>
              <w:top w:val="single" w:sz="6" w:space="0" w:color="D9DEE7"/>
              <w:start w:val="single" w:sz="6" w:space="0" w:color="D9DEE7"/>
              <w:bottom w:val="single" w:sz="6" w:space="0" w:color="D9DEE7"/>
              <w:end w:val="single" w:sz="6" w:space="0" w:color="D9DEE7"/>
              <w:insideH w:val="single" w:sz="6" w:space="0" w:color="D9DEE7"/>
              <w:insideV w:val="single" w:sz="6" w:space="0" w:color="D9DEE7"/>
            </w:tcBorders>
            <w:tcMar>
              <w:top w:w="80" w:type="dxa"/>
              <w:bottom w:w="80" w:type="dxa"/>
              <w:start w:w="120" w:type="dxa"/>
              <w:end w:w="120" w:type="dxa"/>
            </w:tcMar>
          </w:tcPr>
          <w:p>
            <w:pPr>
              <w:spacing w:before="0" w:after="0" w:line="240" w:lineRule="auto"/>
            </w:pPr>
            <w:r>
              <w:rPr>
                <w:rFonts w:ascii="Calibri" w:hAnsi="Calibri"/>
                <w:b w:val="0"/>
                <w:color w:val="17232E"/>
                <w:sz w:val="18"/>
              </w:rPr>
              <w:t>gpt-5.6-sol</w:t>
            </w:r>
          </w:p>
        </w:tc>
        <w:tc>
          <w:tcPr>
            <w:tcW w:type="dxa" w:w="2160"/>
            <w:vAlign w:val="center"/>
            <w:shd w:fill="FFFFFF"/>
            <w:tcBorders>
              <w:top w:val="single" w:sz="6" w:space="0" w:color="D9DEE7"/>
              <w:start w:val="single" w:sz="6" w:space="0" w:color="D9DEE7"/>
              <w:bottom w:val="single" w:sz="6" w:space="0" w:color="D9DEE7"/>
              <w:end w:val="single" w:sz="6" w:space="0" w:color="D9DEE7"/>
              <w:insideH w:val="single" w:sz="6" w:space="0" w:color="D9DEE7"/>
              <w:insideV w:val="single" w:sz="6" w:space="0" w:color="D9DEE7"/>
            </w:tcBorders>
            <w:tcMar>
              <w:top w:w="80" w:type="dxa"/>
              <w:bottom w:w="80" w:type="dxa"/>
              <w:start w:w="120" w:type="dxa"/>
              <w:end w:w="120" w:type="dxa"/>
            </w:tcMar>
          </w:tcPr>
          <w:p>
            <w:pPr>
              <w:spacing w:before="0" w:after="0" w:line="240" w:lineRule="auto"/>
            </w:pPr>
            <w:r>
              <w:rPr>
                <w:rFonts w:ascii="Calibri" w:hAnsi="Calibri"/>
                <w:b w:val="0"/>
                <w:color w:val="17232E"/>
                <w:sz w:val="18"/>
              </w:rPr>
              <w:t>high</w:t>
            </w:r>
          </w:p>
        </w:tc>
      </w:tr>
      <w:tr>
        <w:trPr>
          <w:cantSplit/>
        </w:trPr>
        <w:tc>
          <w:tcPr>
            <w:tcW w:type="dxa" w:w="3300"/>
            <w:vAlign w:val="center"/>
            <w:shd w:fill="FFFFFF"/>
            <w:tcBorders>
              <w:top w:val="single" w:sz="6" w:space="0" w:color="D9DEE7"/>
              <w:start w:val="single" w:sz="6" w:space="0" w:color="D9DEE7"/>
              <w:bottom w:val="single" w:sz="6" w:space="0" w:color="D9DEE7"/>
              <w:end w:val="single" w:sz="6" w:space="0" w:color="D9DEE7"/>
              <w:insideH w:val="single" w:sz="6" w:space="0" w:color="D9DEE7"/>
              <w:insideV w:val="single" w:sz="6" w:space="0" w:color="D9DEE7"/>
            </w:tcBorders>
            <w:tcMar>
              <w:top w:w="80" w:type="dxa"/>
              <w:bottom w:w="80" w:type="dxa"/>
              <w:start w:w="120" w:type="dxa"/>
              <w:end w:w="120" w:type="dxa"/>
            </w:tcMar>
          </w:tcPr>
          <w:p>
            <w:pPr>
              <w:spacing w:before="0" w:after="0" w:line="240" w:lineRule="auto"/>
            </w:pPr>
            <w:r>
              <w:rPr>
                <w:rFonts w:ascii="Calibri" w:hAnsi="Calibri"/>
                <w:b/>
                <w:color w:val="17232E"/>
                <w:sz w:val="18"/>
              </w:rPr>
              <w:t>Sonnet and subagents</w:t>
            </w:r>
          </w:p>
        </w:tc>
        <w:tc>
          <w:tcPr>
            <w:tcW w:type="dxa" w:w="3900"/>
            <w:vAlign w:val="center"/>
            <w:shd w:fill="FFFFFF"/>
            <w:tcBorders>
              <w:top w:val="single" w:sz="6" w:space="0" w:color="D9DEE7"/>
              <w:start w:val="single" w:sz="6" w:space="0" w:color="D9DEE7"/>
              <w:bottom w:val="single" w:sz="6" w:space="0" w:color="D9DEE7"/>
              <w:end w:val="single" w:sz="6" w:space="0" w:color="D9DEE7"/>
              <w:insideH w:val="single" w:sz="6" w:space="0" w:color="D9DEE7"/>
              <w:insideV w:val="single" w:sz="6" w:space="0" w:color="D9DEE7"/>
            </w:tcBorders>
            <w:tcMar>
              <w:top w:w="80" w:type="dxa"/>
              <w:bottom w:w="80" w:type="dxa"/>
              <w:start w:w="120" w:type="dxa"/>
              <w:end w:w="120" w:type="dxa"/>
            </w:tcMar>
          </w:tcPr>
          <w:p>
            <w:pPr>
              <w:spacing w:before="0" w:after="0" w:line="240" w:lineRule="auto"/>
            </w:pPr>
            <w:r>
              <w:rPr>
                <w:rFonts w:ascii="Calibri" w:hAnsi="Calibri"/>
                <w:b w:val="0"/>
                <w:color w:val="17232E"/>
                <w:sz w:val="18"/>
              </w:rPr>
              <w:t>gpt-5.6-terra</w:t>
            </w:r>
          </w:p>
        </w:tc>
        <w:tc>
          <w:tcPr>
            <w:tcW w:type="dxa" w:w="2160"/>
            <w:vAlign w:val="center"/>
            <w:shd w:fill="FFFFFF"/>
            <w:tcBorders>
              <w:top w:val="single" w:sz="6" w:space="0" w:color="D9DEE7"/>
              <w:start w:val="single" w:sz="6" w:space="0" w:color="D9DEE7"/>
              <w:bottom w:val="single" w:sz="6" w:space="0" w:color="D9DEE7"/>
              <w:end w:val="single" w:sz="6" w:space="0" w:color="D9DEE7"/>
              <w:insideH w:val="single" w:sz="6" w:space="0" w:color="D9DEE7"/>
              <w:insideV w:val="single" w:sz="6" w:space="0" w:color="D9DEE7"/>
            </w:tcBorders>
            <w:tcMar>
              <w:top w:w="80" w:type="dxa"/>
              <w:bottom w:w="80" w:type="dxa"/>
              <w:start w:w="120" w:type="dxa"/>
              <w:end w:w="120" w:type="dxa"/>
            </w:tcMar>
          </w:tcPr>
          <w:p>
            <w:pPr>
              <w:spacing w:before="0" w:after="0" w:line="240" w:lineRule="auto"/>
            </w:pPr>
            <w:r>
              <w:rPr>
                <w:rFonts w:ascii="Calibri" w:hAnsi="Calibri"/>
                <w:b w:val="0"/>
                <w:color w:val="17232E"/>
                <w:sz w:val="18"/>
              </w:rPr>
              <w:t>medium</w:t>
            </w:r>
          </w:p>
        </w:tc>
      </w:tr>
      <w:tr>
        <w:trPr>
          <w:cantSplit/>
        </w:trPr>
        <w:tc>
          <w:tcPr>
            <w:tcW w:type="dxa" w:w="3300"/>
            <w:vAlign w:val="center"/>
            <w:shd w:fill="FFFFFF"/>
            <w:tcBorders>
              <w:top w:val="single" w:sz="6" w:space="0" w:color="D9DEE7"/>
              <w:start w:val="single" w:sz="6" w:space="0" w:color="D9DEE7"/>
              <w:bottom w:val="single" w:sz="6" w:space="0" w:color="D9DEE7"/>
              <w:end w:val="single" w:sz="6" w:space="0" w:color="D9DEE7"/>
              <w:insideH w:val="single" w:sz="6" w:space="0" w:color="D9DEE7"/>
              <w:insideV w:val="single" w:sz="6" w:space="0" w:color="D9DEE7"/>
            </w:tcBorders>
            <w:tcMar>
              <w:top w:w="80" w:type="dxa"/>
              <w:bottom w:w="80" w:type="dxa"/>
              <w:start w:w="120" w:type="dxa"/>
              <w:end w:w="120" w:type="dxa"/>
            </w:tcMar>
          </w:tcPr>
          <w:p>
            <w:pPr>
              <w:spacing w:before="0" w:after="0" w:line="240" w:lineRule="auto"/>
            </w:pPr>
            <w:r>
              <w:rPr>
                <w:rFonts w:ascii="Calibri" w:hAnsi="Calibri"/>
                <w:b/>
                <w:color w:val="17232E"/>
                <w:sz w:val="18"/>
              </w:rPr>
              <w:t>Haiku</w:t>
            </w:r>
          </w:p>
        </w:tc>
        <w:tc>
          <w:tcPr>
            <w:tcW w:type="dxa" w:w="3900"/>
            <w:vAlign w:val="center"/>
            <w:shd w:fill="FFFFFF"/>
            <w:tcBorders>
              <w:top w:val="single" w:sz="6" w:space="0" w:color="D9DEE7"/>
              <w:start w:val="single" w:sz="6" w:space="0" w:color="D9DEE7"/>
              <w:bottom w:val="single" w:sz="6" w:space="0" w:color="D9DEE7"/>
              <w:end w:val="single" w:sz="6" w:space="0" w:color="D9DEE7"/>
              <w:insideH w:val="single" w:sz="6" w:space="0" w:color="D9DEE7"/>
              <w:insideV w:val="single" w:sz="6" w:space="0" w:color="D9DEE7"/>
            </w:tcBorders>
            <w:tcMar>
              <w:top w:w="80" w:type="dxa"/>
              <w:bottom w:w="80" w:type="dxa"/>
              <w:start w:w="120" w:type="dxa"/>
              <w:end w:w="120" w:type="dxa"/>
            </w:tcMar>
          </w:tcPr>
          <w:p>
            <w:pPr>
              <w:spacing w:before="0" w:after="0" w:line="240" w:lineRule="auto"/>
            </w:pPr>
            <w:r>
              <w:rPr>
                <w:rFonts w:ascii="Calibri" w:hAnsi="Calibri"/>
                <w:b w:val="0"/>
                <w:color w:val="17232E"/>
                <w:sz w:val="18"/>
              </w:rPr>
              <w:t>gpt-5.6-luna</w:t>
            </w:r>
          </w:p>
        </w:tc>
        <w:tc>
          <w:tcPr>
            <w:tcW w:type="dxa" w:w="2160"/>
            <w:vAlign w:val="center"/>
            <w:shd w:fill="FFFFFF"/>
            <w:tcBorders>
              <w:top w:val="single" w:sz="6" w:space="0" w:color="D9DEE7"/>
              <w:start w:val="single" w:sz="6" w:space="0" w:color="D9DEE7"/>
              <w:bottom w:val="single" w:sz="6" w:space="0" w:color="D9DEE7"/>
              <w:end w:val="single" w:sz="6" w:space="0" w:color="D9DEE7"/>
              <w:insideH w:val="single" w:sz="6" w:space="0" w:color="D9DEE7"/>
              <w:insideV w:val="single" w:sz="6" w:space="0" w:color="D9DEE7"/>
            </w:tcBorders>
            <w:tcMar>
              <w:top w:w="80" w:type="dxa"/>
              <w:bottom w:w="80" w:type="dxa"/>
              <w:start w:w="120" w:type="dxa"/>
              <w:end w:w="120" w:type="dxa"/>
            </w:tcMar>
          </w:tcPr>
          <w:p>
            <w:pPr>
              <w:spacing w:before="0" w:after="0" w:line="240" w:lineRule="auto"/>
            </w:pPr>
            <w:r>
              <w:rPr>
                <w:rFonts w:ascii="Calibri" w:hAnsi="Calibri"/>
                <w:b w:val="0"/>
                <w:color w:val="17232E"/>
                <w:sz w:val="18"/>
              </w:rPr>
              <w:t>low</w:t>
            </w:r>
          </w:p>
        </w:tc>
      </w:tr>
    </w:tbl>
    <w:p>
      <w:pPr>
        <w:widowControl/>
        <w:spacing w:after="40"/>
      </w:pPr>
    </w:p>
    <w:p>
      <w:pPr>
        <w:spacing w:after="120" w:line="264" w:lineRule="auto"/>
      </w:pPr>
      <w:r>
        <w:rPr>
          <w:rFonts w:ascii="Calibri" w:hAnsi="Calibri"/>
          <w:color w:val="17232E"/>
        </w:rPr>
        <w:t>The direct API picker exposes only models in ModelHop’s Claude-tool compatibility catalogue. The Codex route uses the signed-in account’s live model/list response, including its supported effort levels. ModelHop never silently replaces a missing configured model.</w:t>
      </w:r>
    </w:p>
    <w:p>
      <w:pPr>
        <w:pStyle w:val="Heading2"/>
        <w:keepNext/>
      </w:pPr>
      <w:r>
        <w:t>Synthetic defaults</w:t>
      </w:r>
    </w:p>
    <w:p>
      <w:pPr>
        <w:widowControl/>
        <w:numPr>
          <w:ilvl w:val="0"/>
          <w:numId w:val="10"/>
        </w:numPr>
        <w:spacing w:after="160" w:line="280" w:lineRule="auto"/>
        <w:ind w:left="720" w:hanging="360"/>
      </w:pPr>
      <w:r>
        <w:rPr>
          <w:rFonts w:ascii="Calibri" w:hAnsi="Calibri"/>
          <w:b/>
          <w:color w:val="17232E"/>
        </w:rPr>
        <w:t>Kimi K3.</w:t>
      </w:r>
      <w:r>
        <w:rPr>
          <w:rFonts w:ascii="Calibri" w:hAnsi="Calibri"/>
          <w:color w:val="17232E"/>
        </w:rPr>
        <w:t xml:space="preserve"> Used by default for Default, Opus, Sonnet, and subagent roles, shown as the canonical ID hf:moonshotai/Kimi-K3.</w:t>
      </w:r>
    </w:p>
    <w:p>
      <w:pPr>
        <w:widowControl/>
        <w:numPr>
          <w:ilvl w:val="0"/>
          <w:numId w:val="10"/>
        </w:numPr>
        <w:spacing w:after="160" w:line="280" w:lineRule="auto"/>
        <w:ind w:left="720" w:hanging="360"/>
      </w:pPr>
      <w:r>
        <w:rPr>
          <w:rFonts w:ascii="Calibri" w:hAnsi="Calibri"/>
          <w:b/>
          <w:color w:val="17232E"/>
        </w:rPr>
        <w:t>GLM-4.7-Flash.</w:t>
      </w:r>
      <w:r>
        <w:rPr>
          <w:rFonts w:ascii="Calibri" w:hAnsi="Calibri"/>
          <w:color w:val="17232E"/>
        </w:rPr>
        <w:t xml:space="preserve"> Used by default for the Haiku role; other compatible Synthetic models are discovered from the live catalogue.</w:t>
      </w:r>
    </w:p>
    <w:p>
      <w:pPr>
        <w:spacing w:after="120" w:line="264" w:lineRule="auto"/>
      </w:pPr>
      <w:r>
        <w:rPr>
          <w:rFonts w:ascii="Calibri" w:hAnsi="Calibri"/>
          <w:color w:val="17232E"/>
        </w:rPr>
        <w:t>Synthetic publishes provider-native reasoning metadata, but the current Anthropic-compatible Synthetic route does not yet guarantee that every native effort level reaches the upstream model. The UI should distinguish Claude-harness Thinking from provider-private reasoning.</w:t>
      </w:r>
    </w:p>
    <w:p>
      <w:pPr>
        <w:pStyle w:val="Heading2"/>
        <w:keepNext/>
      </w:pPr>
      <w:r>
        <w:t>Experimental orchestration</w:t>
      </w:r>
    </w:p>
    <w:p>
      <w:pPr>
        <w:spacing w:after="120" w:line="264" w:lineRule="auto"/>
      </w:pPr>
      <w:r>
        <w:rPr>
          <w:rFonts w:ascii="Calibri" w:hAnsi="Calibri"/>
          <w:color w:val="17232E"/>
        </w:rPr>
        <w:t>Claude Workflows and Claude Ultracode operate at the Claude harness layer in the current development build. Codex-native Ultra is a separate capability and remains disabled until ModelHop can mediate descendant threads, approvals, recovery, cancellation, usage, and replay protection end to end.</w:t>
      </w:r>
    </w:p>
    <w:p>
      <w:pPr>
        <w:widowControl/>
        <w:spacing w:after="0"/>
      </w:pPr>
      <w:r>
        <w:br w:type="page"/>
      </w:r>
    </w:p>
    <w:p>
      <w:pPr>
        <w:pStyle w:val="Heading1"/>
        <w:keepNext/>
      </w:pPr>
      <w:r>
        <w:t>How ModelHop works</w:t>
      </w:r>
    </w:p>
    <w:p>
      <w:pPr>
        <w:widowControl/>
        <w:spacing w:before="80" w:after="0"/>
        <w:jc w:val="center"/>
      </w:pPr>
      <w:r>
        <w:drawing>
          <wp:inline xmlns:a="http://schemas.openxmlformats.org/drawingml/2006/main" xmlns:pic="http://schemas.openxmlformats.org/drawingml/2006/picture">
            <wp:extent cx="5577840" cy="3137535"/>
            <wp:docPr id="2" name="Picture 2" descr="Architecture diagram showing Claude Code, ModelHop, the local bridge, providers, and encrypted phone continuation" title="Architecture diagram showing Claude Code, ModelHop, the local bridge, providers, and encrypted phone continuation"/>
            <wp:cNvGraphicFramePr>
              <a:graphicFrameLocks noChangeAspect="1"/>
            </wp:cNvGraphicFramePr>
            <a:graphic>
              <a:graphicData uri="http://schemas.openxmlformats.org/drawingml/2006/picture">
                <pic:pic>
                  <pic:nvPicPr>
                    <pic:cNvPr id="0" name="modelhop-architecture.png"/>
                    <pic:cNvPicPr/>
                  </pic:nvPicPr>
                  <pic:blipFill>
                    <a:blip r:embed="rId15"/>
                    <a:stretch>
                      <a:fillRect/>
                    </a:stretch>
                  </pic:blipFill>
                  <pic:spPr>
                    <a:xfrm>
                      <a:off x="0" y="0"/>
                      <a:ext cx="5577840" cy="3137535"/>
                    </a:xfrm>
                    <a:prstGeom prst="rect"/>
                  </pic:spPr>
                </pic:pic>
              </a:graphicData>
            </a:graphic>
          </wp:inline>
        </w:drawing>
      </w:r>
    </w:p>
    <w:p>
      <w:pPr>
        <w:pStyle w:val="Caption"/>
        <w:jc w:val="center"/>
      </w:pPr>
      <w:r>
        <w:t>Claude Code remains the interface and tool harness; ModelHop selects and translates the inference route.</w:t>
      </w:r>
    </w:p>
    <w:p>
      <w:pPr>
        <w:pStyle w:val="Heading2"/>
        <w:keepNext/>
      </w:pPr>
      <w:r>
        <w:t>Local compatibility bridge</w:t>
      </w:r>
    </w:p>
    <w:p>
      <w:pPr>
        <w:spacing w:after="120" w:line="264" w:lineRule="auto"/>
      </w:pPr>
      <w:r>
        <w:rPr>
          <w:rFonts w:ascii="Calibri" w:hAnsi="Calibri"/>
          <w:color w:val="17232E"/>
        </w:rPr>
        <w:t>Synthetic and both OpenAI routes use an Anthropic-compatible server bound to 127.0.0.1. It handles /v1/messages and token counting while translating system instructions, text, images, streaming, tools, parallel calls, cancellation, and errors into the protocol Claude Code expects.</w:t>
      </w:r>
    </w:p>
    <w:p>
      <w:pPr>
        <w:widowControl/>
        <w:numPr>
          <w:ilvl w:val="0"/>
          <w:numId w:val="10"/>
        </w:numPr>
        <w:spacing w:after="160" w:line="280" w:lineRule="auto"/>
        <w:ind w:left="720" w:hanging="360"/>
      </w:pPr>
      <w:r>
        <w:rPr>
          <w:rFonts w:ascii="Calibri" w:hAnsi="Calibri"/>
          <w:b/>
          <w:color w:val="17232E"/>
        </w:rPr>
        <w:t>OpenAI API.</w:t>
      </w:r>
      <w:r>
        <w:rPr>
          <w:rFonts w:ascii="Calibri" w:hAnsi="Calibri"/>
          <w:color w:val="17232E"/>
        </w:rPr>
        <w:t xml:space="preserve"> Responses API translation uses store: false, deterministic identifiers, flexible tool schemas, and encrypted local reasoning continuity.</w:t>
      </w:r>
    </w:p>
    <w:p>
      <w:pPr>
        <w:numPr>
          <w:ilvl w:val="0"/>
          <w:numId w:val="10"/>
        </w:numPr>
        <w:spacing w:after="160" w:line="280" w:lineRule="auto"/>
        <w:ind w:left="720" w:hanging="360"/>
      </w:pPr>
      <w:r>
        <w:rPr>
          <w:rFonts w:ascii="Calibri" w:hAnsi="Calibri"/>
          <w:b/>
          <w:color w:val="17232E"/>
        </w:rPr>
        <w:t>Codex and failure isolation.</w:t>
      </w:r>
      <w:r>
        <w:rPr>
          <w:rFonts w:ascii="Calibri" w:hAnsi="Calibri"/>
          <w:color w:val="17232E"/>
        </w:rPr>
        <w:t xml:space="preserve"> A pinned runtime uses ephemeral threads and Claude tools only; an unavailable bridge, credential, or model fails clearly without Anthropic fallback.</w:t>
      </w:r>
    </w:p>
    <w:p>
      <w:pPr>
        <w:pStyle w:val="Heading2"/>
        <w:keepNext/>
      </w:pPr>
      <w:r>
        <w:t>A provider switch in practice</w:t>
      </w:r>
    </w:p>
    <w:p>
      <w:pPr>
        <w:widowControl/>
        <w:numPr>
          <w:ilvl w:val="0"/>
          <w:numId w:val="11"/>
        </w:numPr>
        <w:spacing w:after="160" w:line="280" w:lineRule="auto"/>
        <w:ind w:left="720" w:hanging="360"/>
      </w:pPr>
      <w:r>
        <w:rPr>
          <w:rFonts w:ascii="Calibri" w:hAnsi="Calibri"/>
          <w:b/>
          <w:color w:val="17232E"/>
        </w:rPr>
        <w:t>Validate and snapshot.</w:t>
      </w:r>
      <w:r>
        <w:rPr>
          <w:rFonts w:ascii="Calibri" w:hAnsi="Calibri"/>
          <w:color w:val="17232E"/>
        </w:rPr>
        <w:t xml:space="preserve"> Check credentials, models, and the current environment before changing anything.</w:t>
      </w:r>
    </w:p>
    <w:p>
      <w:pPr>
        <w:widowControl/>
        <w:numPr>
          <w:ilvl w:val="0"/>
          <w:numId w:val="11"/>
        </w:numPr>
        <w:spacing w:after="160" w:line="280" w:lineRule="auto"/>
        <w:ind w:left="720" w:hanging="360"/>
      </w:pPr>
      <w:r>
        <w:rPr>
          <w:rFonts w:ascii="Calibri" w:hAnsi="Calibri"/>
          <w:b/>
          <w:color w:val="17232E"/>
        </w:rPr>
        <w:t>Repair compatibility.</w:t>
      </w:r>
      <w:r>
        <w:rPr>
          <w:rFonts w:ascii="Calibri" w:hAnsi="Calibri"/>
          <w:color w:val="17232E"/>
        </w:rPr>
        <w:t xml:space="preserve"> Repair tool metadata and thinking blocks locally, after backing up the original transcript.</w:t>
      </w:r>
    </w:p>
    <w:p>
      <w:pPr>
        <w:widowControl/>
        <w:numPr>
          <w:ilvl w:val="0"/>
          <w:numId w:val="11"/>
        </w:numPr>
        <w:spacing w:after="160" w:line="280" w:lineRule="auto"/>
        <w:ind w:left="720" w:hanging="360"/>
      </w:pPr>
      <w:r>
        <w:rPr>
          <w:rFonts w:ascii="Calibri" w:hAnsi="Calibri"/>
          <w:b/>
          <w:color w:val="17232E"/>
        </w:rPr>
        <w:t>Apply, reload, and verify.</w:t>
      </w:r>
      <w:r>
        <w:rPr>
          <w:rFonts w:ascii="Calibri" w:hAnsi="Calibri"/>
          <w:color w:val="17232E"/>
        </w:rPr>
        <w:t xml:space="preserve"> Change only owned values, refresh Claude Code, then resume the intended route or restore the prior configuration.</w:t>
      </w:r>
    </w:p>
    <w:p>
      <w:pPr>
        <w:widowControl/>
        <w:spacing w:after="0"/>
      </w:pPr>
      <w:r>
        <w:br w:type="page"/>
      </w:r>
    </w:p>
    <w:p>
      <w:pPr>
        <w:pStyle w:val="Heading1"/>
        <w:keepNext/>
      </w:pPr>
      <w:r>
        <w:t>Continue on Phone</w:t>
      </w:r>
    </w:p>
    <w:tbl>
      <w:tblPr>
        <w:tblW w:type="dxa" w:w="9360"/>
        <w:jc w:val="left"/>
        <w:tblLayout w:type="fixed"/>
        <w:tblLook w:firstColumn="1" w:firstRow="1" w:lastColumn="0" w:lastRow="0" w:noHBand="0" w:noVBand="1" w:val="04A0"/>
        <w:tblInd w:type="dxa" w:w="180"/>
      </w:tblPr>
      <w:tblGrid>
        <w:gridCol w:w="9360"/>
      </w:tblGrid>
      <w:tr>
        <w:trPr/>
        <w:tc>
          <w:tcPr>
            <w:tcW w:type="dxa" w:w="9360"/>
            <w:tcMar>
              <w:top w:w="160" w:type="dxa"/>
              <w:bottom w:w="160" w:type="dxa"/>
              <w:start w:w="180" w:type="dxa"/>
              <w:end w:w="180" w:type="dxa"/>
            </w:tcMar>
            <w:vAlign w:val="center"/>
            <w:shd w:fill="FDECF1"/>
            <w:tcBorders>
              <w:top w:val="single" w:sz="5" w:space="0" w:color="D9DEE7"/>
              <w:start w:val="single" w:sz="18" w:space="0" w:color="E94F70"/>
              <w:bottom w:val="single" w:sz="5" w:space="0" w:color="D9DEE7"/>
              <w:end w:val="single" w:sz="5" w:space="0" w:color="D9DEE7"/>
              <w:insideH w:val="single" w:sz="5" w:space="0" w:color="D9DEE7"/>
              <w:insideV w:val="single" w:sz="5" w:space="0" w:color="D9DEE7"/>
            </w:tcBorders>
          </w:tcPr>
          <w:p>
            <w:pPr>
              <w:spacing w:before="0" w:after="0" w:line="264" w:lineRule="auto"/>
            </w:pPr>
            <w:r>
              <w:rPr>
                <w:rFonts w:ascii="Calibri" w:hAnsi="Calibri"/>
                <w:b/>
                <w:color w:val="B83252"/>
                <w:sz w:val="22"/>
              </w:rPr>
              <w:t xml:space="preserve">EXPERIMENTAL  </w:t>
            </w:r>
            <w:r>
              <w:rPr>
                <w:rFonts w:ascii="Calibri" w:hAnsi="Calibri"/>
                <w:color w:val="17232E"/>
                <w:sz w:val="22"/>
              </w:rPr>
              <w:t>ModelHop Remote continues a specific Mac-hosted Claude Code task on a phone. It is a focused control surface, not a general remote desktop or unrestricted shell.</w:t>
            </w:r>
          </w:p>
        </w:tc>
      </w:tr>
    </w:tbl>
    <w:p>
      <w:pPr>
        <w:widowControl/>
        <w:spacing w:after="40"/>
      </w:pPr>
    </w:p>
    <w:p>
      <w:pPr>
        <w:pStyle w:val="Heading2"/>
        <w:keepNext/>
      </w:pPr>
      <w:r>
        <w:t>One-command handoff</w:t>
      </w:r>
    </w:p>
    <w:p>
      <w:pPr>
        <w:widowControl/>
        <w:numPr>
          <w:ilvl w:val="0"/>
          <w:numId w:val="12"/>
        </w:numPr>
        <w:spacing w:after="160" w:line="280" w:lineRule="auto"/>
        <w:ind w:left="720" w:hanging="360"/>
      </w:pPr>
      <w:r>
        <w:rPr>
          <w:rFonts w:ascii="Calibri" w:hAnsi="Calibri"/>
          <w:b/>
          <w:color w:val="17232E"/>
        </w:rPr>
        <w:t>Start from Claude Code.</w:t>
      </w:r>
      <w:r>
        <w:rPr>
          <w:rFonts w:ascii="Calibri" w:hAnsi="Calibri"/>
          <w:color w:val="17232E"/>
        </w:rPr>
        <w:t xml:space="preserve"> Choose the exact workspace conversation with ModelHop: Continue on Phone.</w:t>
      </w:r>
    </w:p>
    <w:p>
      <w:pPr>
        <w:widowControl/>
        <w:numPr>
          <w:ilvl w:val="0"/>
          <w:numId w:val="12"/>
        </w:numPr>
        <w:spacing w:after="160" w:line="280" w:lineRule="auto"/>
        <w:ind w:left="720" w:hanging="360"/>
      </w:pPr>
      <w:r>
        <w:rPr>
          <w:rFonts w:ascii="Calibri" w:hAnsi="Calibri"/>
          <w:b/>
          <w:color w:val="17232E"/>
        </w:rPr>
        <w:t>Open the temporary link.</w:t>
      </w:r>
      <w:r>
        <w:rPr>
          <w:rFonts w:ascii="Calibri" w:hAnsi="Calibri"/>
          <w:color w:val="17232E"/>
        </w:rPr>
        <w:t xml:space="preserve"> A verified Quick Tunnel connects the QR link to the loopback controller.</w:t>
      </w:r>
    </w:p>
    <w:p>
      <w:pPr>
        <w:widowControl/>
        <w:numPr>
          <w:ilvl w:val="0"/>
          <w:numId w:val="12"/>
        </w:numPr>
        <w:spacing w:after="160" w:line="280" w:lineRule="auto"/>
        <w:ind w:left="720" w:hanging="360"/>
      </w:pPr>
      <w:r>
        <w:rPr>
          <w:rFonts w:ascii="Calibri" w:hAnsi="Calibri"/>
          <w:b/>
          <w:color w:val="17232E"/>
        </w:rPr>
        <w:t>Compare the code.</w:t>
      </w:r>
      <w:r>
        <w:rPr>
          <w:rFonts w:ascii="Calibri" w:hAnsi="Calibri"/>
          <w:color w:val="17232E"/>
        </w:rPr>
        <w:t xml:space="preserve"> Match the same six digits on phone and laptop; every new device needs laptop approval.</w:t>
      </w:r>
    </w:p>
    <w:p>
      <w:pPr>
        <w:widowControl/>
        <w:numPr>
          <w:ilvl w:val="0"/>
          <w:numId w:val="12"/>
        </w:numPr>
        <w:spacing w:after="160" w:line="280" w:lineRule="auto"/>
        <w:ind w:left="720" w:hanging="360"/>
      </w:pPr>
      <w:r>
        <w:rPr>
          <w:rFonts w:ascii="Calibri" w:hAnsi="Calibri"/>
          <w:b/>
          <w:color w:val="17232E"/>
        </w:rPr>
        <w:t>Keep working.</w:t>
      </w:r>
      <w:r>
        <w:rPr>
          <w:rFonts w:ascii="Calibri" w:hAnsi="Calibri"/>
          <w:color w:val="17232E"/>
        </w:rPr>
        <w:t xml:space="preserve"> Prompts, output, approvals, files, provider state, and usage stay tied to that Mac session.</w:t>
      </w:r>
    </w:p>
    <w:p>
      <w:pPr>
        <w:pStyle w:val="Heading2"/>
        <w:keepNext/>
      </w:pPr>
      <w:r>
        <w:t>A mobile surface built for coding tasks</w:t>
      </w:r>
    </w:p>
    <w:p>
      <w:pPr>
        <w:widowControl/>
        <w:numPr>
          <w:ilvl w:val="0"/>
          <w:numId w:val="10"/>
        </w:numPr>
        <w:spacing w:after="160" w:line="280" w:lineRule="auto"/>
        <w:ind w:left="720" w:hanging="360"/>
      </w:pPr>
      <w:r>
        <w:rPr>
          <w:rFonts w:ascii="Calibri" w:hAnsi="Calibri"/>
          <w:b/>
          <w:color w:val="17232E"/>
        </w:rPr>
        <w:t>Conversation and activity.</w:t>
      </w:r>
      <w:r>
        <w:rPr>
          <w:rFonts w:ascii="Calibri" w:hAnsi="Calibri"/>
          <w:color w:val="17232E"/>
        </w:rPr>
        <w:t xml:space="preserve"> Send or queue prompts, steer, stop, retry, answer questions, inspect phases, and follow tool execution without raw protocol noise.</w:t>
      </w:r>
    </w:p>
    <w:p>
      <w:pPr>
        <w:widowControl/>
        <w:numPr>
          <w:ilvl w:val="0"/>
          <w:numId w:val="10"/>
        </w:numPr>
        <w:spacing w:after="160" w:line="280" w:lineRule="auto"/>
        <w:ind w:left="720" w:hanging="360"/>
      </w:pPr>
      <w:r>
        <w:rPr>
          <w:rFonts w:ascii="Calibri" w:hAnsi="Calibri"/>
          <w:b/>
          <w:color w:val="17232E"/>
        </w:rPr>
        <w:t>Repository context.</w:t>
      </w:r>
      <w:r>
        <w:rPr>
          <w:rFonts w:ascii="Calibri" w:hAnsi="Calibri"/>
          <w:color w:val="17232E"/>
        </w:rPr>
        <w:t xml:space="preserve"> Browse multi-root hierarchies, search, preview source or images, select lines, follow Markdown references, and inspect Git status or diffs.</w:t>
      </w:r>
    </w:p>
    <w:p>
      <w:pPr>
        <w:numPr>
          <w:ilvl w:val="0"/>
          <w:numId w:val="10"/>
        </w:numPr>
        <w:spacing w:after="160" w:line="280" w:lineRule="auto"/>
        <w:ind w:left="720" w:hanging="360"/>
      </w:pPr>
      <w:r>
        <w:rPr>
          <w:rFonts w:ascii="Calibri" w:hAnsi="Calibri"/>
          <w:b/>
          <w:color w:val="17232E"/>
        </w:rPr>
        <w:t>Provider control with Auto-safe.</w:t>
      </w:r>
      <w:r>
        <w:rPr>
          <w:rFonts w:ascii="Calibri" w:hAnsi="Calibri"/>
          <w:color w:val="17232E"/>
        </w:rPr>
        <w:t xml:space="preserve"> See model, reasoning, quota, and usage while routine work continues; risky commands, credentials, pushes, releases, reset credits, and external writes still require a decision.</w:t>
      </w:r>
    </w:p>
    <w:p>
      <w:pPr>
        <w:pStyle w:val="Heading2"/>
        <w:keepNext/>
      </w:pPr>
      <w:r>
        <w:t>Continuity when the display disappears</w:t>
      </w:r>
    </w:p>
    <w:p>
      <w:pPr>
        <w:spacing w:after="120" w:line="264" w:lineRule="auto"/>
      </w:pPr>
      <w:r>
        <w:rPr>
          <w:rFonts w:ascii="Calibri" w:hAnsi="Calibri"/>
          <w:color w:val="17232E"/>
        </w:rPr>
        <w:t>Locking the phone, backgrounding the browser, or losing reception never cancels an active model turn. The detached Mac controller journals encrypted events for the same-link reconnect. Idle or eight-hour limits block later input but let in-flight work finish; cancellation is always explicit.</w:t>
      </w:r>
    </w:p>
    <w:p>
      <w:pPr>
        <w:pStyle w:val="Heading2"/>
        <w:keepNext/>
      </w:pPr>
      <w:r>
        <w:t>Exact-session hand-back</w:t>
      </w:r>
    </w:p>
    <w:p>
      <w:pPr>
        <w:spacing w:after="120" w:line="264" w:lineRule="auto"/>
      </w:pPr>
      <w:r>
        <w:rPr>
          <w:rFonts w:ascii="Calibri" w:hAnsi="Calibri"/>
          <w:color w:val="17232E"/>
        </w:rPr>
        <w:t>Return to Laptop validates the transcript, records durable recovery state, and opens that exact Claude session. If reopening fails, the phone route stays available; ModelHop never substitutes the last or an empty conversation.</w:t>
      </w:r>
    </w:p>
    <w:p>
      <w:pPr>
        <w:widowControl/>
        <w:spacing w:after="0"/>
      </w:pPr>
      <w:r>
        <w:br w:type="page"/>
      </w:r>
    </w:p>
    <w:p>
      <w:pPr>
        <w:pStyle w:val="Heading1"/>
        <w:keepNext/>
      </w:pPr>
      <w:r>
        <w:t>Security and reliability</w:t>
      </w:r>
    </w:p>
    <w:p>
      <w:pPr>
        <w:pStyle w:val="Heading2"/>
        <w:keepNext/>
      </w:pPr>
      <w:r>
        <w:t>Local-first credential boundary</w:t>
      </w:r>
    </w:p>
    <w:p>
      <w:pPr>
        <w:widowControl/>
        <w:numPr>
          <w:ilvl w:val="0"/>
          <w:numId w:val="10"/>
        </w:numPr>
        <w:spacing w:after="160" w:line="280" w:lineRule="auto"/>
        <w:ind w:left="720" w:hanging="360"/>
      </w:pPr>
      <w:r>
        <w:rPr>
          <w:rFonts w:ascii="Calibri" w:hAnsi="Calibri"/>
          <w:b/>
          <w:color w:val="17232E"/>
        </w:rPr>
        <w:t>Loopback services only.</w:t>
      </w:r>
      <w:r>
        <w:rPr>
          <w:rFonts w:ascii="Calibri" w:hAnsi="Calibri"/>
          <w:color w:val="17232E"/>
        </w:rPr>
        <w:t xml:space="preserve"> The inference bridge and mobile controller bind to 127.0.0.1; ModelHop never silently opens a LAN listener.</w:t>
      </w:r>
    </w:p>
    <w:p>
      <w:pPr>
        <w:widowControl/>
        <w:numPr>
          <w:ilvl w:val="0"/>
          <w:numId w:val="10"/>
        </w:numPr>
        <w:spacing w:after="160" w:line="280" w:lineRule="auto"/>
        <w:ind w:left="720" w:hanging="360"/>
      </w:pPr>
      <w:r>
        <w:rPr>
          <w:rFonts w:ascii="Calibri" w:hAnsi="Calibri"/>
          <w:b/>
          <w:color w:val="17232E"/>
        </w:rPr>
        <w:t>Secrets stay on the Mac.</w:t>
      </w:r>
      <w:r>
        <w:rPr>
          <w:rFonts w:ascii="Calibri" w:hAnsi="Calibri"/>
          <w:color w:val="17232E"/>
        </w:rPr>
        <w:t xml:space="preserve"> Provider credentials do not enter the phone URL or mobile payload. Claude receives a bridge-only token, not the upstream OpenAI key.</w:t>
      </w:r>
    </w:p>
    <w:p>
      <w:pPr>
        <w:widowControl/>
        <w:numPr>
          <w:ilvl w:val="0"/>
          <w:numId w:val="10"/>
        </w:numPr>
        <w:spacing w:after="160" w:line="280" w:lineRule="auto"/>
        <w:ind w:left="720" w:hanging="360"/>
      </w:pPr>
      <w:r>
        <w:rPr>
          <w:rFonts w:ascii="Calibri" w:hAnsi="Calibri"/>
          <w:b/>
          <w:color w:val="17232E"/>
        </w:rPr>
        <w:t>Redacted operation.</w:t>
      </w:r>
      <w:r>
        <w:rPr>
          <w:rFonts w:ascii="Calibri" w:hAnsi="Calibri"/>
          <w:color w:val="17232E"/>
        </w:rPr>
        <w:t xml:space="preserve"> Logs redact registered credentials and omit request content; failed configuration writes roll back from a local snapshot.</w:t>
      </w:r>
    </w:p>
    <w:p>
      <w:pPr>
        <w:widowControl/>
        <w:numPr>
          <w:ilvl w:val="0"/>
          <w:numId w:val="10"/>
        </w:numPr>
        <w:spacing w:after="160" w:line="280" w:lineRule="auto"/>
        <w:ind w:left="720" w:hanging="360"/>
      </w:pPr>
      <w:r>
        <w:rPr>
          <w:rFonts w:ascii="Calibri" w:hAnsi="Calibri"/>
          <w:b/>
          <w:color w:val="17232E"/>
        </w:rPr>
        <w:t>Isolated Codex route.</w:t>
      </w:r>
      <w:r>
        <w:rPr>
          <w:rFonts w:ascii="Calibri" w:hAnsi="Calibri"/>
          <w:color w:val="17232E"/>
        </w:rPr>
        <w:t xml:space="preserve"> Native Codex shell, editing, web, MCP, apps, plugins, skills, memories, hooks, and subagents are excluded from bridged turns.</w:t>
      </w:r>
    </w:p>
    <w:p>
      <w:pPr>
        <w:pStyle w:val="Heading2"/>
        <w:keepNext/>
      </w:pPr>
      <w:r>
        <w:t>Remote-session protection</w:t>
      </w:r>
    </w:p>
    <w:p>
      <w:pPr>
        <w:widowControl/>
        <w:numPr>
          <w:ilvl w:val="0"/>
          <w:numId w:val="10"/>
        </w:numPr>
        <w:spacing w:after="160" w:line="280" w:lineRule="auto"/>
        <w:ind w:left="720" w:hanging="360"/>
      </w:pPr>
      <w:r>
        <w:rPr>
          <w:rFonts w:ascii="Calibri" w:hAnsi="Calibri"/>
          <w:b/>
          <w:color w:val="17232E"/>
        </w:rPr>
        <w:t>Application encryption.</w:t>
      </w:r>
      <w:r>
        <w:rPr>
          <w:rFonts w:ascii="Calibri" w:hAnsi="Calibri"/>
          <w:color w:val="17232E"/>
        </w:rPr>
        <w:t xml:space="preserve"> Pairing uses ephemeral P-256 ECDH, HKDF-SHA-256, AES-256-GCM, and a laptop-confirmed short authentication code.</w:t>
      </w:r>
    </w:p>
    <w:p>
      <w:pPr>
        <w:widowControl/>
        <w:numPr>
          <w:ilvl w:val="0"/>
          <w:numId w:val="10"/>
        </w:numPr>
        <w:spacing w:after="160" w:line="280" w:lineRule="auto"/>
        <w:ind w:left="720" w:hanging="360"/>
      </w:pPr>
      <w:r>
        <w:rPr>
          <w:rFonts w:ascii="Calibri" w:hAnsi="Calibri"/>
          <w:b/>
          <w:color w:val="17232E"/>
        </w:rPr>
        <w:t>Replay and duplication defences.</w:t>
      </w:r>
      <w:r>
        <w:rPr>
          <w:rFonts w:ascii="Calibri" w:hAnsi="Calibri"/>
          <w:color w:val="17232E"/>
        </w:rPr>
        <w:t xml:space="preserve"> Authenticated sequence metadata, replay rejection, and in-flight command coalescing prevent repeated remote actions.</w:t>
      </w:r>
    </w:p>
    <w:p>
      <w:pPr>
        <w:numPr>
          <w:ilvl w:val="0"/>
          <w:numId w:val="10"/>
        </w:numPr>
        <w:spacing w:after="160" w:line="280" w:lineRule="auto"/>
        <w:ind w:left="720" w:hanging="360"/>
      </w:pPr>
      <w:r>
        <w:rPr>
          <w:rFonts w:ascii="Calibri" w:hAnsi="Calibri"/>
          <w:b/>
          <w:color w:val="17232E"/>
        </w:rPr>
        <w:t>Workspace boundaries.</w:t>
      </w:r>
      <w:r>
        <w:rPr>
          <w:rFonts w:ascii="Calibri" w:hAnsi="Calibri"/>
          <w:color w:val="17232E"/>
        </w:rPr>
        <w:t xml:space="preserve"> Paths are canonicalized; traversal, escaped symlinks, and oversized reads are rejected. Text previews are capped at 5 MB and supported images at 25 MB.</w:t>
      </w:r>
    </w:p>
    <w:p>
      <w:pPr>
        <w:numPr>
          <w:ilvl w:val="0"/>
          <w:numId w:val="10"/>
        </w:numPr>
        <w:spacing w:after="160" w:line="280" w:lineRule="auto"/>
        <w:ind w:left="720" w:hanging="360"/>
      </w:pPr>
      <w:r>
        <w:rPr>
          <w:rFonts w:ascii="Calibri" w:hAnsi="Calibri"/>
          <w:b/>
          <w:color w:val="17232E"/>
        </w:rPr>
        <w:t>Fail closed.</w:t>
      </w:r>
      <w:r>
        <w:rPr>
          <w:rFonts w:ascii="Calibri" w:hAnsi="Calibri"/>
          <w:color w:val="17232E"/>
        </w:rPr>
        <w:t xml:space="preserve"> An unavailable tunnel, invalid identity, expired session, bridge failure, or model mismatch stops the operation rather than widening access or changing provider.</w:t>
      </w:r>
    </w:p>
    <w:tbl>
      <w:tblPr>
        <w:tblW w:type="dxa" w:w="9360"/>
        <w:jc w:val="left"/>
        <w:tblLayout w:type="fixed"/>
        <w:tblLook w:firstColumn="1" w:firstRow="1" w:lastColumn="0" w:lastRow="0" w:noHBand="0" w:noVBand="1" w:val="04A0"/>
        <w:tblInd w:type="dxa" w:w="180"/>
      </w:tblPr>
      <w:tblGrid>
        <w:gridCol w:w="9360"/>
      </w:tblGrid>
      <w:tr>
        <w:trPr/>
        <w:tc>
          <w:tcPr>
            <w:tcW w:type="dxa" w:w="9360"/>
            <w:tcMar>
              <w:top w:w="160" w:type="dxa"/>
              <w:bottom w:w="160" w:type="dxa"/>
              <w:start w:w="180" w:type="dxa"/>
              <w:end w:w="180" w:type="dxa"/>
            </w:tcMar>
            <w:vAlign w:val="center"/>
            <w:shd w:fill="F4F6F9"/>
            <w:tcBorders>
              <w:top w:val="single" w:sz="5" w:space="0" w:color="D9DEE7"/>
              <w:start w:val="single" w:sz="18" w:space="0" w:color="E94F70"/>
              <w:bottom w:val="single" w:sz="5" w:space="0" w:color="D9DEE7"/>
              <w:end w:val="single" w:sz="5" w:space="0" w:color="D9DEE7"/>
              <w:insideH w:val="single" w:sz="5" w:space="0" w:color="D9DEE7"/>
              <w:insideV w:val="single" w:sz="5" w:space="0" w:color="D9DEE7"/>
            </w:tcBorders>
          </w:tcPr>
          <w:p>
            <w:pPr>
              <w:spacing w:before="0" w:after="0" w:line="264" w:lineRule="auto"/>
            </w:pPr>
            <w:r>
              <w:rPr>
                <w:rFonts w:ascii="Calibri" w:hAnsi="Calibri"/>
                <w:b/>
                <w:color w:val="B83252"/>
                <w:sz w:val="22"/>
              </w:rPr>
              <w:t xml:space="preserve">TRUST BOUNDARY  </w:t>
            </w:r>
            <w:r>
              <w:rPr>
                <w:rFonts w:ascii="Calibri" w:hAnsi="Calibri"/>
                <w:color w:val="17232E"/>
                <w:sz w:val="22"/>
              </w:rPr>
              <w:t>Cloudflare Quick Tunnels provide a temporary public hostname, terminate HTTPS, can observe transport metadata, and serve the initial browser client. Paired session payloads are encrypted, but this Experimental delivery cannot protect against malicious client-code substitution by the tunnel operator. It is intended for short-lived personal sessions, not regulated remote access.</w:t>
            </w:r>
          </w:p>
        </w:tc>
      </w:tr>
    </w:tbl>
    <w:p>
      <w:pPr>
        <w:widowControl/>
        <w:spacing w:after="40"/>
      </w:pPr>
    </w:p>
    <w:p>
      <w:pPr>
        <w:pStyle w:val="Heading2"/>
        <w:keepNext/>
      </w:pPr>
      <w:r>
        <w:t>Testability</w:t>
      </w:r>
    </w:p>
    <w:p>
      <w:pPr>
        <w:spacing w:after="120" w:line="264" w:lineRule="auto"/>
      </w:pPr>
      <w:r>
        <w:rPr>
          <w:rFonts w:ascii="Calibri" w:hAnsi="Calibri"/>
          <w:color w:val="17232E"/>
        </w:rPr>
        <w:t>The project includes unit and integration coverage for translation, tools, credentials, context, repair, remote crypto, session recovery, path policy, and lifecycle behaviour. A deterministic mobile fixture and Playwright suite exercise phone viewports, interaction, accessibility, visual regressions, and production-asset packaging without provider credentials or a live tunnel.</w:t>
      </w:r>
    </w:p>
    <w:p>
      <w:pPr>
        <w:widowControl/>
        <w:spacing w:after="0"/>
      </w:pPr>
      <w:r>
        <w:br w:type="page"/>
      </w:r>
    </w:p>
    <w:p>
      <w:pPr>
        <w:pStyle w:val="Heading1"/>
        <w:keepNext/>
      </w:pPr>
      <w:r>
        <w:t>Developer outcomes</w:t>
      </w:r>
    </w:p>
    <w:p>
      <w:pPr>
        <w:numPr>
          <w:ilvl w:val="0"/>
          <w:numId w:val="10"/>
        </w:numPr>
        <w:spacing w:after="160" w:line="280" w:lineRule="auto"/>
        <w:ind w:left="720" w:hanging="360"/>
      </w:pPr>
      <w:r>
        <w:rPr>
          <w:rFonts w:ascii="Calibri" w:hAnsi="Calibri"/>
          <w:b/>
          <w:color w:val="17232E"/>
        </w:rPr>
        <w:t>Use the model and allowance that fit the task</w:t>
      </w:r>
      <w:r>
        <w:rPr>
          <w:rFonts w:ascii="Calibri" w:hAnsi="Calibri"/>
          <w:color w:val="17232E"/>
        </w:rPr>
        <w:t>—Kimi K3, direct OpenAI API, ChatGPT/Codex, or native Anthropic—without abandoning Claude Code’s interface and tools.</w:t>
      </w:r>
    </w:p>
    <w:p>
      <w:pPr>
        <w:widowControl/>
        <w:numPr>
          <w:ilvl w:val="0"/>
          <w:numId w:val="10"/>
        </w:numPr>
        <w:spacing w:after="160" w:line="280" w:lineRule="auto"/>
        <w:ind w:left="720" w:hanging="360"/>
      </w:pPr>
      <w:r>
        <w:rPr>
          <w:rFonts w:ascii="Calibri" w:hAnsi="Calibri"/>
          <w:b/>
          <w:color w:val="17232E"/>
        </w:rPr>
        <w:t>Route by task economics</w:t>
      </w:r>
      <w:r>
        <w:rPr>
          <w:rFonts w:ascii="Calibri" w:hAnsi="Calibri"/>
          <w:color w:val="17232E"/>
        </w:rPr>
        <w:t xml:space="preserve"> so demanding work uses a stronger model while routine or subagent work uses a faster, lower-cost option.</w:t>
      </w:r>
    </w:p>
    <w:p>
      <w:pPr>
        <w:widowControl/>
        <w:numPr>
          <w:ilvl w:val="0"/>
          <w:numId w:val="10"/>
        </w:numPr>
        <w:spacing w:after="160" w:line="280" w:lineRule="auto"/>
        <w:ind w:left="720" w:hanging="360"/>
      </w:pPr>
      <w:r>
        <w:rPr>
          <w:rFonts w:ascii="Calibri" w:hAnsi="Calibri"/>
          <w:b/>
          <w:color w:val="17232E"/>
        </w:rPr>
        <w:t>Switch when quota or context changes</w:t>
      </w:r>
      <w:r>
        <w:rPr>
          <w:rFonts w:ascii="Calibri" w:hAnsi="Calibri"/>
          <w:color w:val="17232E"/>
        </w:rPr>
        <w:t xml:space="preserve"> and preserve the conversation instead of rebuilding it in a fresh chat.</w:t>
      </w:r>
    </w:p>
    <w:p>
      <w:pPr>
        <w:widowControl/>
        <w:numPr>
          <w:ilvl w:val="0"/>
          <w:numId w:val="10"/>
        </w:numPr>
        <w:spacing w:after="160" w:line="280" w:lineRule="auto"/>
        <w:ind w:left="720" w:hanging="360"/>
      </w:pPr>
      <w:r>
        <w:rPr>
          <w:rFonts w:ascii="Calibri" w:hAnsi="Calibri"/>
          <w:b/>
          <w:color w:val="17232E"/>
        </w:rPr>
        <w:t>Keep work moving away from the desk</w:t>
      </w:r>
      <w:r>
        <w:rPr>
          <w:rFonts w:ascii="Calibri" w:hAnsi="Calibri"/>
          <w:color w:val="17232E"/>
        </w:rPr>
        <w:t xml:space="preserve"> by monitoring, approving, and inspecting source, images, HTML output, logs, or diffs from a phone.</w:t>
      </w:r>
    </w:p>
    <w:p>
      <w:pPr>
        <w:pStyle w:val="Heading2"/>
        <w:keepNext/>
      </w:pPr>
      <w:r>
        <w:t>Product maturity</w:t>
      </w:r>
    </w:p>
    <w:tbl>
      <w:tblPr>
        <w:tblW w:type="dxa" w:w="9360"/>
        <w:jc w:val="left"/>
        <w:tblLayout w:type="fixed"/>
        <w:tblLook w:firstColumn="1" w:firstRow="1" w:lastColumn="0" w:lastRow="0" w:noHBand="0" w:noVBand="1" w:val="04A0"/>
        <w:tblInd w:type="dxa" w:w="120"/>
      </w:tblPr>
      <w:tblGrid>
        <w:gridCol w:w="2580"/>
        <w:gridCol w:w="2160"/>
        <w:gridCol w:w="4620"/>
      </w:tblGrid>
      <w:tr>
        <w:trPr>
          <w:tblHeader w:val="true"/>
          <w:cantSplit/>
        </w:trPr>
        <w:tc>
          <w:tcPr>
            <w:tcW w:type="dxa" w:w="2580"/>
            <w:vAlign w:val="center"/>
            <w:shd w:fill="F2F4F7"/>
            <w:tcBorders>
              <w:top w:val="single" w:sz="6" w:space="0" w:color="D9DEE7"/>
              <w:start w:val="single" w:sz="6" w:space="0" w:color="D9DEE7"/>
              <w:bottom w:val="single" w:sz="6" w:space="0" w:color="D9DEE7"/>
              <w:end w:val="single" w:sz="6" w:space="0" w:color="D9DEE7"/>
              <w:insideH w:val="single" w:sz="6" w:space="0" w:color="D9DEE7"/>
              <w:insideV w:val="single" w:sz="6" w:space="0" w:color="D9DEE7"/>
            </w:tcBorders>
            <w:tcMar>
              <w:top w:w="80" w:type="dxa"/>
              <w:bottom w:w="80" w:type="dxa"/>
              <w:start w:w="120" w:type="dxa"/>
              <w:end w:w="120" w:type="dxa"/>
            </w:tcMar>
          </w:tcPr>
          <w:p>
            <w:pPr>
              <w:spacing w:before="0" w:after="0" w:line="240" w:lineRule="auto"/>
            </w:pPr>
            <w:r>
              <w:rPr>
                <w:rFonts w:ascii="Calibri" w:hAnsi="Calibri"/>
                <w:b/>
                <w:color w:val="0B2545"/>
                <w:sz w:val="18"/>
              </w:rPr>
              <w:t>Area</w:t>
            </w:r>
          </w:p>
        </w:tc>
        <w:tc>
          <w:tcPr>
            <w:tcW w:type="dxa" w:w="2160"/>
            <w:vAlign w:val="center"/>
            <w:shd w:fill="F2F4F7"/>
            <w:tcBorders>
              <w:top w:val="single" w:sz="6" w:space="0" w:color="D9DEE7"/>
              <w:start w:val="single" w:sz="6" w:space="0" w:color="D9DEE7"/>
              <w:bottom w:val="single" w:sz="6" w:space="0" w:color="D9DEE7"/>
              <w:end w:val="single" w:sz="6" w:space="0" w:color="D9DEE7"/>
              <w:insideH w:val="single" w:sz="6" w:space="0" w:color="D9DEE7"/>
              <w:insideV w:val="single" w:sz="6" w:space="0" w:color="D9DEE7"/>
            </w:tcBorders>
            <w:tcMar>
              <w:top w:w="80" w:type="dxa"/>
              <w:bottom w:w="80" w:type="dxa"/>
              <w:start w:w="120" w:type="dxa"/>
              <w:end w:w="120" w:type="dxa"/>
            </w:tcMar>
          </w:tcPr>
          <w:p>
            <w:pPr>
              <w:spacing w:before="0" w:after="0" w:line="240" w:lineRule="auto"/>
            </w:pPr>
            <w:r>
              <w:rPr>
                <w:rFonts w:ascii="Calibri" w:hAnsi="Calibri"/>
                <w:b/>
                <w:color w:val="0B2545"/>
                <w:sz w:val="18"/>
              </w:rPr>
              <w:t>Current status</w:t>
            </w:r>
          </w:p>
        </w:tc>
        <w:tc>
          <w:tcPr>
            <w:tcW w:type="dxa" w:w="4620"/>
            <w:vAlign w:val="center"/>
            <w:shd w:fill="F2F4F7"/>
            <w:tcBorders>
              <w:top w:val="single" w:sz="6" w:space="0" w:color="D9DEE7"/>
              <w:start w:val="single" w:sz="6" w:space="0" w:color="D9DEE7"/>
              <w:bottom w:val="single" w:sz="6" w:space="0" w:color="D9DEE7"/>
              <w:end w:val="single" w:sz="6" w:space="0" w:color="D9DEE7"/>
              <w:insideH w:val="single" w:sz="6" w:space="0" w:color="D9DEE7"/>
              <w:insideV w:val="single" w:sz="6" w:space="0" w:color="D9DEE7"/>
            </w:tcBorders>
            <w:tcMar>
              <w:top w:w="80" w:type="dxa"/>
              <w:bottom w:w="80" w:type="dxa"/>
              <w:start w:w="120" w:type="dxa"/>
              <w:end w:w="120" w:type="dxa"/>
            </w:tcMar>
          </w:tcPr>
          <w:p>
            <w:pPr>
              <w:spacing w:before="0" w:after="0" w:line="240" w:lineRule="auto"/>
            </w:pPr>
            <w:r>
              <w:rPr>
                <w:rFonts w:ascii="Calibri" w:hAnsi="Calibri"/>
                <w:b/>
                <w:color w:val="0B2545"/>
                <w:sz w:val="18"/>
              </w:rPr>
              <w:t>Boundary</w:t>
            </w:r>
          </w:p>
        </w:tc>
      </w:tr>
      <w:tr>
        <w:trPr>
          <w:cantSplit/>
        </w:trPr>
        <w:tc>
          <w:tcPr>
            <w:tcW w:type="dxa" w:w="2580"/>
            <w:vAlign w:val="center"/>
            <w:shd w:fill="FFFFFF"/>
            <w:tcBorders>
              <w:top w:val="single" w:sz="6" w:space="0" w:color="D9DEE7"/>
              <w:start w:val="single" w:sz="6" w:space="0" w:color="D9DEE7"/>
              <w:bottom w:val="single" w:sz="6" w:space="0" w:color="D9DEE7"/>
              <w:end w:val="single" w:sz="6" w:space="0" w:color="D9DEE7"/>
              <w:insideH w:val="single" w:sz="6" w:space="0" w:color="D9DEE7"/>
              <w:insideV w:val="single" w:sz="6" w:space="0" w:color="D9DEE7"/>
            </w:tcBorders>
            <w:tcMar>
              <w:top w:w="80" w:type="dxa"/>
              <w:bottom w:w="80" w:type="dxa"/>
              <w:start w:w="120" w:type="dxa"/>
              <w:end w:w="120" w:type="dxa"/>
            </w:tcMar>
          </w:tcPr>
          <w:p>
            <w:pPr>
              <w:spacing w:before="0" w:after="0" w:line="240" w:lineRule="auto"/>
            </w:pPr>
            <w:r>
              <w:rPr>
                <w:rFonts w:ascii="Calibri" w:hAnsi="Calibri"/>
                <w:b/>
                <w:color w:val="17232E"/>
                <w:sz w:val="17"/>
              </w:rPr>
              <w:t>Anthropic route</w:t>
            </w:r>
          </w:p>
        </w:tc>
        <w:tc>
          <w:tcPr>
            <w:tcW w:type="dxa" w:w="2160"/>
            <w:vAlign w:val="center"/>
            <w:shd w:fill="FFFFFF"/>
            <w:tcBorders>
              <w:top w:val="single" w:sz="6" w:space="0" w:color="D9DEE7"/>
              <w:start w:val="single" w:sz="6" w:space="0" w:color="D9DEE7"/>
              <w:bottom w:val="single" w:sz="6" w:space="0" w:color="D9DEE7"/>
              <w:end w:val="single" w:sz="6" w:space="0" w:color="D9DEE7"/>
              <w:insideH w:val="single" w:sz="6" w:space="0" w:color="D9DEE7"/>
              <w:insideV w:val="single" w:sz="6" w:space="0" w:color="D9DEE7"/>
            </w:tcBorders>
            <w:tcMar>
              <w:top w:w="80" w:type="dxa"/>
              <w:bottom w:w="80" w:type="dxa"/>
              <w:start w:w="120" w:type="dxa"/>
              <w:end w:w="120" w:type="dxa"/>
            </w:tcMar>
          </w:tcPr>
          <w:p>
            <w:pPr>
              <w:spacing w:before="0" w:after="0" w:line="240" w:lineRule="auto"/>
            </w:pPr>
            <w:r>
              <w:rPr>
                <w:rFonts w:ascii="Calibri" w:hAnsi="Calibri"/>
                <w:b w:val="0"/>
                <w:color w:val="17232E"/>
                <w:sz w:val="17"/>
              </w:rPr>
              <w:t>Stable</w:t>
            </w:r>
          </w:p>
        </w:tc>
        <w:tc>
          <w:tcPr>
            <w:tcW w:type="dxa" w:w="4620"/>
            <w:vAlign w:val="center"/>
            <w:shd w:fill="FFFFFF"/>
            <w:tcBorders>
              <w:top w:val="single" w:sz="6" w:space="0" w:color="D9DEE7"/>
              <w:start w:val="single" w:sz="6" w:space="0" w:color="D9DEE7"/>
              <w:bottom w:val="single" w:sz="6" w:space="0" w:color="D9DEE7"/>
              <w:end w:val="single" w:sz="6" w:space="0" w:color="D9DEE7"/>
              <w:insideH w:val="single" w:sz="6" w:space="0" w:color="D9DEE7"/>
              <w:insideV w:val="single" w:sz="6" w:space="0" w:color="D9DEE7"/>
            </w:tcBorders>
            <w:tcMar>
              <w:top w:w="80" w:type="dxa"/>
              <w:bottom w:w="80" w:type="dxa"/>
              <w:start w:w="120" w:type="dxa"/>
              <w:end w:w="120" w:type="dxa"/>
            </w:tcMar>
          </w:tcPr>
          <w:p>
            <w:pPr>
              <w:spacing w:before="0" w:after="0" w:line="240" w:lineRule="auto"/>
            </w:pPr>
            <w:r>
              <w:rPr>
                <w:rFonts w:ascii="Calibri" w:hAnsi="Calibri"/>
                <w:b w:val="0"/>
                <w:color w:val="17232E"/>
                <w:sz w:val="17"/>
              </w:rPr>
              <w:t>Native Claude authentication and model catalogue.</w:t>
            </w:r>
          </w:p>
        </w:tc>
      </w:tr>
      <w:tr>
        <w:trPr>
          <w:cantSplit/>
        </w:trPr>
        <w:tc>
          <w:tcPr>
            <w:tcW w:type="dxa" w:w="2580"/>
            <w:vAlign w:val="center"/>
            <w:shd w:fill="FFFFFF"/>
            <w:tcBorders>
              <w:top w:val="single" w:sz="6" w:space="0" w:color="D9DEE7"/>
              <w:start w:val="single" w:sz="6" w:space="0" w:color="D9DEE7"/>
              <w:bottom w:val="single" w:sz="6" w:space="0" w:color="D9DEE7"/>
              <w:end w:val="single" w:sz="6" w:space="0" w:color="D9DEE7"/>
              <w:insideH w:val="single" w:sz="6" w:space="0" w:color="D9DEE7"/>
              <w:insideV w:val="single" w:sz="6" w:space="0" w:color="D9DEE7"/>
            </w:tcBorders>
            <w:tcMar>
              <w:top w:w="80" w:type="dxa"/>
              <w:bottom w:w="80" w:type="dxa"/>
              <w:start w:w="120" w:type="dxa"/>
              <w:end w:w="120" w:type="dxa"/>
            </w:tcMar>
          </w:tcPr>
          <w:p>
            <w:pPr>
              <w:spacing w:before="0" w:after="0" w:line="240" w:lineRule="auto"/>
            </w:pPr>
            <w:r>
              <w:rPr>
                <w:rFonts w:ascii="Calibri" w:hAnsi="Calibri"/>
                <w:b/>
                <w:color w:val="17232E"/>
                <w:sz w:val="17"/>
              </w:rPr>
              <w:t>Synthetic route</w:t>
            </w:r>
          </w:p>
        </w:tc>
        <w:tc>
          <w:tcPr>
            <w:tcW w:type="dxa" w:w="2160"/>
            <w:vAlign w:val="center"/>
            <w:shd w:fill="FFFFFF"/>
            <w:tcBorders>
              <w:top w:val="single" w:sz="6" w:space="0" w:color="D9DEE7"/>
              <w:start w:val="single" w:sz="6" w:space="0" w:color="D9DEE7"/>
              <w:bottom w:val="single" w:sz="6" w:space="0" w:color="D9DEE7"/>
              <w:end w:val="single" w:sz="6" w:space="0" w:color="D9DEE7"/>
              <w:insideH w:val="single" w:sz="6" w:space="0" w:color="D9DEE7"/>
              <w:insideV w:val="single" w:sz="6" w:space="0" w:color="D9DEE7"/>
            </w:tcBorders>
            <w:tcMar>
              <w:top w:w="80" w:type="dxa"/>
              <w:bottom w:w="80" w:type="dxa"/>
              <w:start w:w="120" w:type="dxa"/>
              <w:end w:w="120" w:type="dxa"/>
            </w:tcMar>
          </w:tcPr>
          <w:p>
            <w:pPr>
              <w:spacing w:before="0" w:after="0" w:line="240" w:lineRule="auto"/>
            </w:pPr>
            <w:r>
              <w:rPr>
                <w:rFonts w:ascii="Calibri" w:hAnsi="Calibri"/>
                <w:b w:val="0"/>
                <w:color w:val="17232E"/>
                <w:sz w:val="17"/>
              </w:rPr>
              <w:t>Stable</w:t>
            </w:r>
          </w:p>
        </w:tc>
        <w:tc>
          <w:tcPr>
            <w:tcW w:type="dxa" w:w="4620"/>
            <w:vAlign w:val="center"/>
            <w:shd w:fill="FFFFFF"/>
            <w:tcBorders>
              <w:top w:val="single" w:sz="6" w:space="0" w:color="D9DEE7"/>
              <w:start w:val="single" w:sz="6" w:space="0" w:color="D9DEE7"/>
              <w:bottom w:val="single" w:sz="6" w:space="0" w:color="D9DEE7"/>
              <w:end w:val="single" w:sz="6" w:space="0" w:color="D9DEE7"/>
              <w:insideH w:val="single" w:sz="6" w:space="0" w:color="D9DEE7"/>
              <w:insideV w:val="single" w:sz="6" w:space="0" w:color="D9DEE7"/>
            </w:tcBorders>
            <w:tcMar>
              <w:top w:w="80" w:type="dxa"/>
              <w:bottom w:w="80" w:type="dxa"/>
              <w:start w:w="120" w:type="dxa"/>
              <w:end w:w="120" w:type="dxa"/>
            </w:tcMar>
          </w:tcPr>
          <w:p>
            <w:pPr>
              <w:spacing w:before="0" w:after="0" w:line="240" w:lineRule="auto"/>
            </w:pPr>
            <w:r>
              <w:rPr>
                <w:rFonts w:ascii="Calibri" w:hAnsi="Calibri"/>
                <w:b w:val="0"/>
                <w:color w:val="17232E"/>
                <w:sz w:val="17"/>
              </w:rPr>
              <w:t>Provider-native effort metadata is not yet fully carried through.</w:t>
            </w:r>
          </w:p>
        </w:tc>
      </w:tr>
      <w:tr>
        <w:trPr>
          <w:cantSplit/>
        </w:trPr>
        <w:tc>
          <w:tcPr>
            <w:tcW w:type="dxa" w:w="2580"/>
            <w:vAlign w:val="center"/>
            <w:shd w:fill="FFFFFF"/>
            <w:tcBorders>
              <w:top w:val="single" w:sz="6" w:space="0" w:color="D9DEE7"/>
              <w:start w:val="single" w:sz="6" w:space="0" w:color="D9DEE7"/>
              <w:bottom w:val="single" w:sz="6" w:space="0" w:color="D9DEE7"/>
              <w:end w:val="single" w:sz="6" w:space="0" w:color="D9DEE7"/>
              <w:insideH w:val="single" w:sz="6" w:space="0" w:color="D9DEE7"/>
              <w:insideV w:val="single" w:sz="6" w:space="0" w:color="D9DEE7"/>
            </w:tcBorders>
            <w:tcMar>
              <w:top w:w="80" w:type="dxa"/>
              <w:bottom w:w="80" w:type="dxa"/>
              <w:start w:w="120" w:type="dxa"/>
              <w:end w:w="120" w:type="dxa"/>
            </w:tcMar>
          </w:tcPr>
          <w:p>
            <w:pPr>
              <w:spacing w:before="0" w:after="0" w:line="240" w:lineRule="auto"/>
            </w:pPr>
            <w:r>
              <w:rPr>
                <w:rFonts w:ascii="Calibri" w:hAnsi="Calibri"/>
                <w:b/>
                <w:color w:val="17232E"/>
                <w:sz w:val="17"/>
              </w:rPr>
              <w:t>OpenAI API route</w:t>
            </w:r>
          </w:p>
        </w:tc>
        <w:tc>
          <w:tcPr>
            <w:tcW w:type="dxa" w:w="2160"/>
            <w:vAlign w:val="center"/>
            <w:shd w:fill="FFFFFF"/>
            <w:tcBorders>
              <w:top w:val="single" w:sz="6" w:space="0" w:color="D9DEE7"/>
              <w:start w:val="single" w:sz="6" w:space="0" w:color="D9DEE7"/>
              <w:bottom w:val="single" w:sz="6" w:space="0" w:color="D9DEE7"/>
              <w:end w:val="single" w:sz="6" w:space="0" w:color="D9DEE7"/>
              <w:insideH w:val="single" w:sz="6" w:space="0" w:color="D9DEE7"/>
              <w:insideV w:val="single" w:sz="6" w:space="0" w:color="D9DEE7"/>
            </w:tcBorders>
            <w:tcMar>
              <w:top w:w="80" w:type="dxa"/>
              <w:bottom w:w="80" w:type="dxa"/>
              <w:start w:w="120" w:type="dxa"/>
              <w:end w:w="120" w:type="dxa"/>
            </w:tcMar>
          </w:tcPr>
          <w:p>
            <w:pPr>
              <w:spacing w:before="0" w:after="0" w:line="240" w:lineRule="auto"/>
            </w:pPr>
            <w:r>
              <w:rPr>
                <w:rFonts w:ascii="Calibri" w:hAnsi="Calibri"/>
                <w:b w:val="0"/>
                <w:color w:val="17232E"/>
                <w:sz w:val="17"/>
              </w:rPr>
              <w:t>Release candidate</w:t>
            </w:r>
          </w:p>
        </w:tc>
        <w:tc>
          <w:tcPr>
            <w:tcW w:type="dxa" w:w="4620"/>
            <w:vAlign w:val="center"/>
            <w:shd w:fill="FFFFFF"/>
            <w:tcBorders>
              <w:top w:val="single" w:sz="6" w:space="0" w:color="D9DEE7"/>
              <w:start w:val="single" w:sz="6" w:space="0" w:color="D9DEE7"/>
              <w:bottom w:val="single" w:sz="6" w:space="0" w:color="D9DEE7"/>
              <w:end w:val="single" w:sz="6" w:space="0" w:color="D9DEE7"/>
              <w:insideH w:val="single" w:sz="6" w:space="0" w:color="D9DEE7"/>
              <w:insideV w:val="single" w:sz="6" w:space="0" w:color="D9DEE7"/>
            </w:tcBorders>
            <w:tcMar>
              <w:top w:w="80" w:type="dxa"/>
              <w:bottom w:w="80" w:type="dxa"/>
              <w:start w:w="120" w:type="dxa"/>
              <w:end w:w="120" w:type="dxa"/>
            </w:tcMar>
          </w:tcPr>
          <w:p>
            <w:pPr>
              <w:spacing w:before="0" w:after="0" w:line="240" w:lineRule="auto"/>
            </w:pPr>
            <w:r>
              <w:rPr>
                <w:rFonts w:ascii="Calibri" w:hAnsi="Calibri"/>
                <w:b w:val="0"/>
                <w:color w:val="17232E"/>
                <w:sz w:val="17"/>
              </w:rPr>
              <w:t>Provider dashboard remains authoritative for billing.</w:t>
            </w:r>
          </w:p>
        </w:tc>
      </w:tr>
      <w:tr>
        <w:trPr>
          <w:cantSplit/>
        </w:trPr>
        <w:tc>
          <w:tcPr>
            <w:tcW w:type="dxa" w:w="2580"/>
            <w:vAlign w:val="center"/>
            <w:shd w:fill="FFFFFF"/>
            <w:tcBorders>
              <w:top w:val="single" w:sz="6" w:space="0" w:color="D9DEE7"/>
              <w:start w:val="single" w:sz="6" w:space="0" w:color="D9DEE7"/>
              <w:bottom w:val="single" w:sz="6" w:space="0" w:color="D9DEE7"/>
              <w:end w:val="single" w:sz="6" w:space="0" w:color="D9DEE7"/>
              <w:insideH w:val="single" w:sz="6" w:space="0" w:color="D9DEE7"/>
              <w:insideV w:val="single" w:sz="6" w:space="0" w:color="D9DEE7"/>
            </w:tcBorders>
            <w:tcMar>
              <w:top w:w="80" w:type="dxa"/>
              <w:bottom w:w="80" w:type="dxa"/>
              <w:start w:w="120" w:type="dxa"/>
              <w:end w:w="120" w:type="dxa"/>
            </w:tcMar>
          </w:tcPr>
          <w:p>
            <w:pPr>
              <w:spacing w:before="0" w:after="0" w:line="240" w:lineRule="auto"/>
            </w:pPr>
            <w:r>
              <w:rPr>
                <w:rFonts w:ascii="Calibri" w:hAnsi="Calibri"/>
                <w:b/>
                <w:color w:val="17232E"/>
                <w:sz w:val="17"/>
              </w:rPr>
              <w:t>ChatGPT / Codex route</w:t>
            </w:r>
          </w:p>
        </w:tc>
        <w:tc>
          <w:tcPr>
            <w:tcW w:type="dxa" w:w="2160"/>
            <w:vAlign w:val="center"/>
            <w:shd w:fill="FFFFFF"/>
            <w:tcBorders>
              <w:top w:val="single" w:sz="6" w:space="0" w:color="D9DEE7"/>
              <w:start w:val="single" w:sz="6" w:space="0" w:color="D9DEE7"/>
              <w:bottom w:val="single" w:sz="6" w:space="0" w:color="D9DEE7"/>
              <w:end w:val="single" w:sz="6" w:space="0" w:color="D9DEE7"/>
              <w:insideH w:val="single" w:sz="6" w:space="0" w:color="D9DEE7"/>
              <w:insideV w:val="single" w:sz="6" w:space="0" w:color="D9DEE7"/>
            </w:tcBorders>
            <w:tcMar>
              <w:top w:w="80" w:type="dxa"/>
              <w:bottom w:w="80" w:type="dxa"/>
              <w:start w:w="120" w:type="dxa"/>
              <w:end w:w="120" w:type="dxa"/>
            </w:tcMar>
          </w:tcPr>
          <w:p>
            <w:pPr>
              <w:spacing w:before="0" w:after="0" w:line="240" w:lineRule="auto"/>
            </w:pPr>
            <w:r>
              <w:rPr>
                <w:rFonts w:ascii="Calibri" w:hAnsi="Calibri"/>
                <w:b w:val="0"/>
                <w:color w:val="17232E"/>
                <w:sz w:val="17"/>
              </w:rPr>
              <w:t>Experimental</w:t>
            </w:r>
          </w:p>
        </w:tc>
        <w:tc>
          <w:tcPr>
            <w:tcW w:type="dxa" w:w="4620"/>
            <w:vAlign w:val="center"/>
            <w:shd w:fill="FFFFFF"/>
            <w:tcBorders>
              <w:top w:val="single" w:sz="6" w:space="0" w:color="D9DEE7"/>
              <w:start w:val="single" w:sz="6" w:space="0" w:color="D9DEE7"/>
              <w:bottom w:val="single" w:sz="6" w:space="0" w:color="D9DEE7"/>
              <w:end w:val="single" w:sz="6" w:space="0" w:color="D9DEE7"/>
              <w:insideH w:val="single" w:sz="6" w:space="0" w:color="D9DEE7"/>
              <w:insideV w:val="single" w:sz="6" w:space="0" w:color="D9DEE7"/>
            </w:tcBorders>
            <w:tcMar>
              <w:top w:w="80" w:type="dxa"/>
              <w:bottom w:w="80" w:type="dxa"/>
              <w:start w:w="120" w:type="dxa"/>
              <w:end w:w="120" w:type="dxa"/>
            </w:tcMar>
          </w:tcPr>
          <w:p>
            <w:pPr>
              <w:spacing w:before="0" w:after="0" w:line="240" w:lineRule="auto"/>
            </w:pPr>
            <w:r>
              <w:rPr>
                <w:rFonts w:ascii="Calibri" w:hAnsi="Calibri"/>
                <w:b w:val="0"/>
                <w:color w:val="17232E"/>
                <w:sz w:val="17"/>
              </w:rPr>
              <w:t>Depends on experimental Codex app-server dynamicTools.</w:t>
            </w:r>
          </w:p>
        </w:tc>
      </w:tr>
      <w:tr>
        <w:trPr>
          <w:cantSplit/>
        </w:trPr>
        <w:tc>
          <w:tcPr>
            <w:tcW w:type="dxa" w:w="2580"/>
            <w:vAlign w:val="center"/>
            <w:shd w:fill="FFFFFF"/>
            <w:tcBorders>
              <w:top w:val="single" w:sz="6" w:space="0" w:color="D9DEE7"/>
              <w:start w:val="single" w:sz="6" w:space="0" w:color="D9DEE7"/>
              <w:bottom w:val="single" w:sz="6" w:space="0" w:color="D9DEE7"/>
              <w:end w:val="single" w:sz="6" w:space="0" w:color="D9DEE7"/>
              <w:insideH w:val="single" w:sz="6" w:space="0" w:color="D9DEE7"/>
              <w:insideV w:val="single" w:sz="6" w:space="0" w:color="D9DEE7"/>
            </w:tcBorders>
            <w:tcMar>
              <w:top w:w="80" w:type="dxa"/>
              <w:bottom w:w="80" w:type="dxa"/>
              <w:start w:w="120" w:type="dxa"/>
              <w:end w:w="120" w:type="dxa"/>
            </w:tcMar>
          </w:tcPr>
          <w:p>
            <w:pPr>
              <w:spacing w:before="0" w:after="0" w:line="240" w:lineRule="auto"/>
            </w:pPr>
            <w:r>
              <w:rPr>
                <w:rFonts w:ascii="Calibri" w:hAnsi="Calibri"/>
                <w:b/>
                <w:color w:val="17232E"/>
                <w:sz w:val="17"/>
              </w:rPr>
              <w:t>ModelHop Remote</w:t>
            </w:r>
          </w:p>
        </w:tc>
        <w:tc>
          <w:tcPr>
            <w:tcW w:type="dxa" w:w="2160"/>
            <w:vAlign w:val="center"/>
            <w:shd w:fill="FFFFFF"/>
            <w:tcBorders>
              <w:top w:val="single" w:sz="6" w:space="0" w:color="D9DEE7"/>
              <w:start w:val="single" w:sz="6" w:space="0" w:color="D9DEE7"/>
              <w:bottom w:val="single" w:sz="6" w:space="0" w:color="D9DEE7"/>
              <w:end w:val="single" w:sz="6" w:space="0" w:color="D9DEE7"/>
              <w:insideH w:val="single" w:sz="6" w:space="0" w:color="D9DEE7"/>
              <w:insideV w:val="single" w:sz="6" w:space="0" w:color="D9DEE7"/>
            </w:tcBorders>
            <w:tcMar>
              <w:top w:w="80" w:type="dxa"/>
              <w:bottom w:w="80" w:type="dxa"/>
              <w:start w:w="120" w:type="dxa"/>
              <w:end w:w="120" w:type="dxa"/>
            </w:tcMar>
          </w:tcPr>
          <w:p>
            <w:pPr>
              <w:spacing w:before="0" w:after="0" w:line="240" w:lineRule="auto"/>
            </w:pPr>
            <w:r>
              <w:rPr>
                <w:rFonts w:ascii="Calibri" w:hAnsi="Calibri"/>
                <w:b w:val="0"/>
                <w:color w:val="17232E"/>
                <w:sz w:val="17"/>
              </w:rPr>
              <w:t>Experimental</w:t>
            </w:r>
          </w:p>
        </w:tc>
        <w:tc>
          <w:tcPr>
            <w:tcW w:type="dxa" w:w="4620"/>
            <w:vAlign w:val="center"/>
            <w:shd w:fill="FFFFFF"/>
            <w:tcBorders>
              <w:top w:val="single" w:sz="6" w:space="0" w:color="D9DEE7"/>
              <w:start w:val="single" w:sz="6" w:space="0" w:color="D9DEE7"/>
              <w:bottom w:val="single" w:sz="6" w:space="0" w:color="D9DEE7"/>
              <w:end w:val="single" w:sz="6" w:space="0" w:color="D9DEE7"/>
              <w:insideH w:val="single" w:sz="6" w:space="0" w:color="D9DEE7"/>
              <w:insideV w:val="single" w:sz="6" w:space="0" w:color="D9DEE7"/>
            </w:tcBorders>
            <w:tcMar>
              <w:top w:w="80" w:type="dxa"/>
              <w:bottom w:w="80" w:type="dxa"/>
              <w:start w:w="120" w:type="dxa"/>
              <w:end w:w="120" w:type="dxa"/>
            </w:tcMar>
          </w:tcPr>
          <w:p>
            <w:pPr>
              <w:spacing w:before="0" w:after="0" w:line="240" w:lineRule="auto"/>
            </w:pPr>
            <w:r>
              <w:rPr>
                <w:rFonts w:ascii="Calibri" w:hAnsi="Calibri"/>
                <w:b w:val="0"/>
                <w:color w:val="17232E"/>
                <w:sz w:val="17"/>
              </w:rPr>
              <w:t>Mac must remain powered, online, and awake; Quick Tunnels have no SLA.</w:t>
            </w:r>
          </w:p>
        </w:tc>
      </w:tr>
      <w:tr>
        <w:trPr>
          <w:cantSplit/>
        </w:trPr>
        <w:tc>
          <w:tcPr>
            <w:tcW w:type="dxa" w:w="2580"/>
            <w:vAlign w:val="center"/>
            <w:shd w:fill="FFFFFF"/>
            <w:tcBorders>
              <w:top w:val="single" w:sz="6" w:space="0" w:color="D9DEE7"/>
              <w:start w:val="single" w:sz="6" w:space="0" w:color="D9DEE7"/>
              <w:bottom w:val="single" w:sz="6" w:space="0" w:color="D9DEE7"/>
              <w:end w:val="single" w:sz="6" w:space="0" w:color="D9DEE7"/>
              <w:insideH w:val="single" w:sz="6" w:space="0" w:color="D9DEE7"/>
              <w:insideV w:val="single" w:sz="6" w:space="0" w:color="D9DEE7"/>
            </w:tcBorders>
            <w:tcMar>
              <w:top w:w="80" w:type="dxa"/>
              <w:bottom w:w="80" w:type="dxa"/>
              <w:start w:w="120" w:type="dxa"/>
              <w:end w:w="120" w:type="dxa"/>
            </w:tcMar>
          </w:tcPr>
          <w:p>
            <w:pPr>
              <w:spacing w:before="0" w:after="0" w:line="240" w:lineRule="auto"/>
            </w:pPr>
            <w:r>
              <w:rPr>
                <w:rFonts w:ascii="Calibri" w:hAnsi="Calibri"/>
                <w:b/>
                <w:color w:val="17232E"/>
                <w:sz w:val="17"/>
              </w:rPr>
              <w:t>Thinking / Workflows / Ultra</w:t>
            </w:r>
          </w:p>
        </w:tc>
        <w:tc>
          <w:tcPr>
            <w:tcW w:type="dxa" w:w="2160"/>
            <w:vAlign w:val="center"/>
            <w:shd w:fill="FFFFFF"/>
            <w:tcBorders>
              <w:top w:val="single" w:sz="6" w:space="0" w:color="D9DEE7"/>
              <w:start w:val="single" w:sz="6" w:space="0" w:color="D9DEE7"/>
              <w:bottom w:val="single" w:sz="6" w:space="0" w:color="D9DEE7"/>
              <w:end w:val="single" w:sz="6" w:space="0" w:color="D9DEE7"/>
              <w:insideH w:val="single" w:sz="6" w:space="0" w:color="D9DEE7"/>
              <w:insideV w:val="single" w:sz="6" w:space="0" w:color="D9DEE7"/>
            </w:tcBorders>
            <w:tcMar>
              <w:top w:w="80" w:type="dxa"/>
              <w:bottom w:w="80" w:type="dxa"/>
              <w:start w:w="120" w:type="dxa"/>
              <w:end w:w="120" w:type="dxa"/>
            </w:tcMar>
          </w:tcPr>
          <w:p>
            <w:pPr>
              <w:spacing w:before="0" w:after="0" w:line="240" w:lineRule="auto"/>
            </w:pPr>
            <w:r>
              <w:rPr>
                <w:rFonts w:ascii="Calibri" w:hAnsi="Calibri"/>
                <w:b w:val="0"/>
                <w:color w:val="17232E"/>
                <w:sz w:val="17"/>
              </w:rPr>
              <w:t>Development preview</w:t>
            </w:r>
          </w:p>
        </w:tc>
        <w:tc>
          <w:tcPr>
            <w:tcW w:type="dxa" w:w="4620"/>
            <w:vAlign w:val="center"/>
            <w:shd w:fill="FFFFFF"/>
            <w:tcBorders>
              <w:top w:val="single" w:sz="6" w:space="0" w:color="D9DEE7"/>
              <w:start w:val="single" w:sz="6" w:space="0" w:color="D9DEE7"/>
              <w:bottom w:val="single" w:sz="6" w:space="0" w:color="D9DEE7"/>
              <w:end w:val="single" w:sz="6" w:space="0" w:color="D9DEE7"/>
              <w:insideH w:val="single" w:sz="6" w:space="0" w:color="D9DEE7"/>
              <w:insideV w:val="single" w:sz="6" w:space="0" w:color="D9DEE7"/>
            </w:tcBorders>
            <w:tcMar>
              <w:top w:w="80" w:type="dxa"/>
              <w:bottom w:w="80" w:type="dxa"/>
              <w:start w:w="120" w:type="dxa"/>
              <w:end w:w="120" w:type="dxa"/>
            </w:tcMar>
          </w:tcPr>
          <w:p>
            <w:pPr>
              <w:spacing w:before="0" w:after="0" w:line="240" w:lineRule="auto"/>
            </w:pPr>
            <w:r>
              <w:rPr>
                <w:rFonts w:ascii="Calibri" w:hAnsi="Calibri"/>
                <w:b w:val="0"/>
                <w:color w:val="17232E"/>
                <w:sz w:val="17"/>
              </w:rPr>
              <w:t>Current working tree; Codex-native Ultra remains disabled.</w:t>
            </w:r>
          </w:p>
        </w:tc>
      </w:tr>
    </w:tbl>
    <w:p>
      <w:pPr>
        <w:widowControl/>
        <w:spacing w:after="40"/>
      </w:pPr>
    </w:p>
    <w:p>
      <w:pPr>
        <w:pStyle w:val="Heading2"/>
        <w:keepNext/>
      </w:pPr>
      <w:r>
        <w:t>Deliberate exclusions</w:t>
      </w:r>
    </w:p>
    <w:p>
      <w:pPr>
        <w:widowControl/>
        <w:numPr>
          <w:ilvl w:val="0"/>
          <w:numId w:val="10"/>
        </w:numPr>
        <w:spacing w:after="160" w:line="280" w:lineRule="auto"/>
        <w:ind w:left="720" w:hanging="360"/>
      </w:pPr>
      <w:r>
        <w:rPr>
          <w:rFonts w:ascii="Calibri" w:hAnsi="Calibri"/>
          <w:b/>
          <w:color w:val="17232E"/>
        </w:rPr>
        <w:t>No silent provider fallback.</w:t>
      </w:r>
      <w:r>
        <w:rPr>
          <w:rFonts w:ascii="Calibri" w:hAnsi="Calibri"/>
          <w:color w:val="17232E"/>
        </w:rPr>
        <w:t xml:space="preserve"> A failed alternate route will not consume Anthropic usage behind the developer’s back.</w:t>
      </w:r>
    </w:p>
    <w:p>
      <w:pPr>
        <w:widowControl/>
        <w:numPr>
          <w:ilvl w:val="0"/>
          <w:numId w:val="10"/>
        </w:numPr>
        <w:spacing w:after="160" w:line="280" w:lineRule="auto"/>
        <w:ind w:left="720" w:hanging="360"/>
      </w:pPr>
      <w:r>
        <w:rPr>
          <w:rFonts w:ascii="Calibri" w:hAnsi="Calibri"/>
          <w:b/>
          <w:color w:val="17232E"/>
        </w:rPr>
        <w:t>No direct mobile file editor.</w:t>
      </w:r>
      <w:r>
        <w:rPr>
          <w:rFonts w:ascii="Calibri" w:hAnsi="Calibri"/>
          <w:color w:val="17232E"/>
        </w:rPr>
        <w:t xml:space="preserve"> Changes continue through Claude Code and remain visible as reviewable diffs.</w:t>
      </w:r>
    </w:p>
    <w:p>
      <w:pPr>
        <w:widowControl/>
        <w:numPr>
          <w:ilvl w:val="0"/>
          <w:numId w:val="10"/>
        </w:numPr>
        <w:spacing w:after="160" w:line="280" w:lineRule="auto"/>
        <w:ind w:left="720" w:hanging="360"/>
      </w:pPr>
      <w:r>
        <w:rPr>
          <w:rFonts w:ascii="Calibri" w:hAnsi="Calibri"/>
          <w:b/>
          <w:color w:val="17232E"/>
        </w:rPr>
        <w:t>No hosted ModelHop account or relay.</w:t>
      </w:r>
      <w:r>
        <w:rPr>
          <w:rFonts w:ascii="Calibri" w:hAnsi="Calibri"/>
          <w:color w:val="17232E"/>
        </w:rPr>
        <w:t xml:space="preserve"> The product coordinates the developer’s local editor, local bridge, selected providers, and temporary remote session.</w:t>
      </w:r>
    </w:p>
    <w:p>
      <w:pPr>
        <w:widowControl/>
        <w:numPr>
          <w:ilvl w:val="0"/>
          <w:numId w:val="10"/>
        </w:numPr>
        <w:spacing w:after="160" w:line="280" w:lineRule="auto"/>
        <w:ind w:left="720" w:hanging="360"/>
      </w:pPr>
      <w:r>
        <w:rPr>
          <w:rFonts w:ascii="Calibri" w:hAnsi="Calibri"/>
          <w:b/>
          <w:color w:val="17232E"/>
        </w:rPr>
        <w:t>No standalone CLI configuration.</w:t>
      </w:r>
      <w:r>
        <w:rPr>
          <w:rFonts w:ascii="Calibri" w:hAnsi="Calibri"/>
          <w:color w:val="17232E"/>
        </w:rPr>
        <w:t xml:space="preserve"> ModelHop targets Anthropic’s Claude Code extension for Cursor and VS Code.</w:t>
      </w:r>
    </w:p>
    <w:p>
      <w:pPr>
        <w:widowControl/>
        <w:spacing w:after="0"/>
      </w:pPr>
      <w:r>
        <w:br w:type="page"/>
      </w:r>
    </w:p>
    <w:p>
      <w:pPr>
        <w:pStyle w:val="Heading1"/>
        <w:keepNext/>
      </w:pPr>
      <w:r>
        <w:t>Getting started</w:t>
      </w:r>
    </w:p>
    <w:tbl>
      <w:tblPr>
        <w:tblW w:type="dxa" w:w="9360"/>
        <w:jc w:val="left"/>
        <w:tblLayout w:type="fixed"/>
        <w:tblLook w:firstColumn="1" w:firstRow="1" w:lastColumn="0" w:lastRow="0" w:noHBand="0" w:noVBand="1" w:val="04A0"/>
        <w:tblInd w:type="dxa" w:w="180"/>
      </w:tblPr>
      <w:tblGrid>
        <w:gridCol w:w="9360"/>
      </w:tblGrid>
      <w:tr>
        <w:trPr/>
        <w:tc>
          <w:tcPr>
            <w:tcW w:type="dxa" w:w="9360"/>
            <w:tcMar>
              <w:top w:w="160" w:type="dxa"/>
              <w:bottom w:w="160" w:type="dxa"/>
              <w:start w:w="180" w:type="dxa"/>
              <w:end w:w="180" w:type="dxa"/>
            </w:tcMar>
            <w:vAlign w:val="center"/>
            <w:shd w:fill="EEF5FB"/>
            <w:tcBorders>
              <w:top w:val="single" w:sz="5" w:space="0" w:color="D9DEE7"/>
              <w:start w:val="single" w:sz="18" w:space="0" w:color="E94F70"/>
              <w:bottom w:val="single" w:sz="5" w:space="0" w:color="D9DEE7"/>
              <w:end w:val="single" w:sz="5" w:space="0" w:color="D9DEE7"/>
              <w:insideH w:val="single" w:sz="5" w:space="0" w:color="D9DEE7"/>
              <w:insideV w:val="single" w:sz="5" w:space="0" w:color="D9DEE7"/>
            </w:tcBorders>
          </w:tcPr>
          <w:p>
            <w:pPr>
              <w:spacing w:before="0" w:after="0" w:line="264" w:lineRule="auto"/>
            </w:pPr>
            <w:r>
              <w:rPr>
                <w:rFonts w:ascii="Calibri" w:hAnsi="Calibri"/>
                <w:b/>
                <w:color w:val="B83252"/>
                <w:sz w:val="22"/>
              </w:rPr>
              <w:t xml:space="preserve">START SIMPLE  </w:t>
            </w:r>
            <w:r>
              <w:rPr>
                <w:rFonts w:ascii="Calibri" w:hAnsi="Calibri"/>
                <w:color w:val="17232E"/>
                <w:sz w:val="22"/>
              </w:rPr>
              <w:t>Choose one alternate provider, keep the default role routing, and confirm the active canonical model and usage in the status bar before changing anything else.</w:t>
            </w:r>
          </w:p>
        </w:tc>
      </w:tr>
    </w:tbl>
    <w:p>
      <w:pPr>
        <w:widowControl/>
        <w:spacing w:after="40"/>
      </w:pPr>
    </w:p>
    <w:p>
      <w:pPr>
        <w:widowControl/>
        <w:numPr>
          <w:ilvl w:val="0"/>
          <w:numId w:val="13"/>
        </w:numPr>
        <w:spacing w:after="160" w:line="280" w:lineRule="auto"/>
        <w:ind w:left="720" w:hanging="360"/>
      </w:pPr>
      <w:r>
        <w:rPr>
          <w:rFonts w:ascii="Calibri" w:hAnsi="Calibri"/>
          <w:b/>
          <w:color w:val="17232E"/>
        </w:rPr>
        <w:t>Install Claude Code.</w:t>
      </w:r>
      <w:r>
        <w:rPr>
          <w:rFonts w:ascii="Calibri" w:hAnsi="Calibri"/>
          <w:color w:val="17232E"/>
        </w:rPr>
        <w:t xml:space="preserve"> Add Anthropic’s Claude Code extension to Cursor or VS Code.</w:t>
      </w:r>
    </w:p>
    <w:p>
      <w:pPr>
        <w:widowControl/>
        <w:numPr>
          <w:ilvl w:val="0"/>
          <w:numId w:val="13"/>
        </w:numPr>
        <w:spacing w:after="160" w:line="280" w:lineRule="auto"/>
        <w:ind w:left="720" w:hanging="360"/>
      </w:pPr>
      <w:r>
        <w:rPr>
          <w:rFonts w:ascii="Calibri" w:hAnsi="Calibri"/>
          <w:b/>
          <w:color w:val="17232E"/>
        </w:rPr>
        <w:t>Install ModelHop.</w:t>
      </w:r>
      <w:r>
        <w:rPr>
          <w:rFonts w:ascii="Calibri" w:hAnsi="Calibri"/>
          <w:color w:val="17232E"/>
        </w:rPr>
        <w:t xml:space="preserve"> Install the ModelHop VSIX and reload the editor.</w:t>
      </w:r>
    </w:p>
    <w:p>
      <w:pPr>
        <w:widowControl/>
        <w:numPr>
          <w:ilvl w:val="0"/>
          <w:numId w:val="13"/>
        </w:numPr>
        <w:spacing w:after="160" w:line="280" w:lineRule="auto"/>
        <w:ind w:left="720" w:hanging="360"/>
      </w:pPr>
      <w:r>
        <w:rPr>
          <w:rFonts w:ascii="Calibri" w:hAnsi="Calibri"/>
          <w:b/>
          <w:color w:val="17232E"/>
        </w:rPr>
        <w:t>Choose a provider.</w:t>
      </w:r>
      <w:r>
        <w:rPr>
          <w:rFonts w:ascii="Calibri" w:hAnsi="Calibri"/>
          <w:color w:val="17232E"/>
        </w:rPr>
        <w:t xml:space="preserve"> Use the ModelHop status item or ModelHop: Switch Provider command.</w:t>
      </w:r>
    </w:p>
    <w:p>
      <w:pPr>
        <w:widowControl/>
        <w:numPr>
          <w:ilvl w:val="0"/>
          <w:numId w:val="13"/>
        </w:numPr>
        <w:spacing w:after="160" w:line="280" w:lineRule="auto"/>
        <w:ind w:left="720" w:hanging="360"/>
      </w:pPr>
      <w:r>
        <w:rPr>
          <w:rFonts w:ascii="Calibri" w:hAnsi="Calibri"/>
          <w:b/>
          <w:color w:val="17232E"/>
        </w:rPr>
        <w:t>Authenticate and route.</w:t>
      </w:r>
      <w:r>
        <w:rPr>
          <w:rFonts w:ascii="Calibri" w:hAnsi="Calibri"/>
          <w:color w:val="17232E"/>
        </w:rPr>
        <w:t xml:space="preserve"> Add the credential or complete Codex sign-in, then choose role mappings and reasoning.</w:t>
      </w:r>
    </w:p>
    <w:p>
      <w:pPr>
        <w:widowControl/>
        <w:numPr>
          <w:ilvl w:val="0"/>
          <w:numId w:val="13"/>
        </w:numPr>
        <w:spacing w:after="160" w:line="280" w:lineRule="auto"/>
        <w:ind w:left="720" w:hanging="360"/>
      </w:pPr>
      <w:r>
        <w:rPr>
          <w:rFonts w:ascii="Calibri" w:hAnsi="Calibri"/>
          <w:b/>
          <w:color w:val="17232E"/>
        </w:rPr>
        <w:t>Keep the workflow.</w:t>
      </w:r>
      <w:r>
        <w:rPr>
          <w:rFonts w:ascii="Calibri" w:hAnsi="Calibri"/>
          <w:color w:val="17232E"/>
        </w:rPr>
        <w:t xml:space="preserve"> Continue in Claude Code, watch usage, and optionally hand the exact task to a phone.</w:t>
      </w:r>
    </w:p>
    <w:p>
      <w:pPr>
        <w:pStyle w:val="Heading2"/>
        <w:keepNext/>
      </w:pPr>
      <w:r>
        <w:t>What stays familiar</w:t>
      </w:r>
    </w:p>
    <w:p>
      <w:pPr>
        <w:widowControl/>
        <w:numPr>
          <w:ilvl w:val="0"/>
          <w:numId w:val="10"/>
        </w:numPr>
        <w:spacing w:after="160" w:line="280" w:lineRule="auto"/>
        <w:ind w:left="720" w:hanging="360"/>
      </w:pPr>
      <w:r>
        <w:rPr>
          <w:rFonts w:ascii="Calibri" w:hAnsi="Calibri"/>
          <w:b/>
          <w:color w:val="17232E"/>
        </w:rPr>
        <w:t>Claude Code remains the interface and tool runner.</w:t>
      </w:r>
      <w:r>
        <w:rPr>
          <w:rFonts w:ascii="Calibri" w:hAnsi="Calibri"/>
          <w:color w:val="17232E"/>
        </w:rPr>
        <w:t xml:space="preserve"> ModelHop changes the inference route and preserves the surrounding workflow.</w:t>
      </w:r>
    </w:p>
    <w:p>
      <w:pPr>
        <w:widowControl/>
        <w:numPr>
          <w:ilvl w:val="0"/>
          <w:numId w:val="10"/>
        </w:numPr>
        <w:spacing w:after="160" w:line="280" w:lineRule="auto"/>
        <w:ind w:left="720" w:hanging="360"/>
      </w:pPr>
      <w:r>
        <w:rPr>
          <w:rFonts w:ascii="Calibri" w:hAnsi="Calibri"/>
          <w:b/>
          <w:color w:val="17232E"/>
        </w:rPr>
        <w:t>The conversation remains the unit of work.</w:t>
      </w:r>
      <w:r>
        <w:rPr>
          <w:rFonts w:ascii="Calibri" w:hAnsi="Calibri"/>
          <w:color w:val="17232E"/>
        </w:rPr>
        <w:t xml:space="preserve"> Provider repair, context management, and exact-session hand-back are designed around continuity.</w:t>
      </w:r>
    </w:p>
    <w:p>
      <w:pPr>
        <w:widowControl/>
        <w:numPr>
          <w:ilvl w:val="0"/>
          <w:numId w:val="10"/>
        </w:numPr>
        <w:spacing w:after="160" w:line="280" w:lineRule="auto"/>
        <w:ind w:left="720" w:hanging="360"/>
      </w:pPr>
      <w:r>
        <w:rPr>
          <w:rFonts w:ascii="Calibri" w:hAnsi="Calibri"/>
          <w:b/>
          <w:color w:val="17232E"/>
        </w:rPr>
        <w:t>The developer remains in control.</w:t>
      </w:r>
      <w:r>
        <w:rPr>
          <w:rFonts w:ascii="Calibri" w:hAnsi="Calibri"/>
          <w:color w:val="17232E"/>
        </w:rPr>
        <w:t xml:space="preserve"> ModelHop shows the provider, model, usage, maturity, and failure state instead of hiding them.</w:t>
      </w:r>
    </w:p>
    <w:p>
      <w:pPr>
        <w:pStyle w:val="Heading2"/>
        <w:keepNext/>
      </w:pPr>
      <w:r>
        <w:t>Project links</w:t>
      </w:r>
    </w:p>
    <w:p>
      <w:pPr>
        <w:widowControl/>
        <w:spacing w:after="80"/>
      </w:pPr>
      <w:r>
        <w:rPr>
          <w:rFonts w:ascii="Calibri" w:hAnsi="Calibri"/>
          <w:b/>
          <w:color w:val="17232E"/>
        </w:rPr>
        <w:t xml:space="preserve">Repository: </w:t>
      </w:r>
      <w:hyperlink r:id="rId14" w:history="1">
        <w:r>
          <w:rPr>
            <w:rFonts w:ascii="Calibri" w:hAnsi="Calibri"/>
            <w:color w:val="2E74B5"/>
            <w:u w:val="single"/>
          </w:rPr>
          <w:t>github.com/markrpg/modelhop-for-claude-code</w:t>
        </w:r>
      </w:hyperlink>
    </w:p>
    <w:p>
      <w:pPr>
        <w:widowControl/>
        <w:spacing w:after="80"/>
      </w:pPr>
      <w:r>
        <w:rPr>
          <w:rFonts w:ascii="Calibri" w:hAnsi="Calibri"/>
          <w:b/>
          <w:color w:val="17232E"/>
        </w:rPr>
        <w:t xml:space="preserve">Claude Code extension: </w:t>
      </w:r>
      <w:hyperlink r:id="rId16" w:history="1">
        <w:r>
          <w:rPr>
            <w:rFonts w:ascii="Calibri" w:hAnsi="Calibri"/>
            <w:color w:val="2E74B5"/>
            <w:u w:val="single"/>
          </w:rPr>
          <w:t>Visual Studio Marketplace</w:t>
        </w:r>
      </w:hyperlink>
    </w:p>
    <w:p>
      <w:pPr>
        <w:widowControl/>
        <w:spacing w:after="80"/>
      </w:pPr>
      <w:r>
        <w:rPr>
          <w:rFonts w:ascii="Calibri" w:hAnsi="Calibri"/>
          <w:b/>
          <w:color w:val="17232E"/>
        </w:rPr>
        <w:t xml:space="preserve">Synthetic: </w:t>
      </w:r>
      <w:hyperlink r:id="rId17" w:history="1">
        <w:r>
          <w:rPr>
            <w:rFonts w:ascii="Calibri" w:hAnsi="Calibri"/>
            <w:color w:val="2E74B5"/>
            <w:u w:val="single"/>
          </w:rPr>
          <w:t>Create an account (maintainer referral link)</w:t>
        </w:r>
      </w:hyperlink>
    </w:p>
    <w:p>
      <w:pPr>
        <w:widowControl/>
        <w:spacing w:after="0"/>
      </w:pPr>
      <w:r>
        <w:rPr>
          <w:rFonts w:ascii="Calibri" w:hAnsi="Calibri"/>
          <w:b/>
          <w:color w:val="17232E"/>
        </w:rPr>
        <w:t xml:space="preserve">License: </w:t>
      </w:r>
      <w:r>
        <w:rPr>
          <w:rFonts w:ascii="Calibri" w:hAnsi="Calibri"/>
          <w:color w:val="17232E"/>
        </w:rPr>
        <w:t>MIT — use, modify, and distribute ModelHop under the project license.</w:t>
      </w:r>
    </w:p>
    <w:p>
      <w:pPr>
        <w:widowControl/>
        <w:spacing w:before="440" w:after="0"/>
        <w:jc w:val="center"/>
      </w:pPr>
      <w:r>
        <w:drawing>
          <wp:inline xmlns:a="http://schemas.openxmlformats.org/drawingml/2006/main" xmlns:pic="http://schemas.openxmlformats.org/drawingml/2006/picture">
            <wp:extent cx="731520" cy="731520"/>
            <wp:docPr id="3" name="Picture 3" descr="ModelHop logo" title="ModelHop logo"/>
            <wp:cNvGraphicFramePr>
              <a:graphicFrameLocks noChangeAspect="1"/>
            </wp:cNvGraphicFramePr>
            <a:graphic>
              <a:graphicData uri="http://schemas.openxmlformats.org/drawingml/2006/picture">
                <pic:pic>
                  <pic:nvPicPr>
                    <pic:cNvPr id="0" name="modelhop-logo.png"/>
                    <pic:cNvPicPr/>
                  </pic:nvPicPr>
                  <pic:blipFill>
                    <a:blip r:embed="rId13"/>
                    <a:stretch>
                      <a:fillRect/>
                    </a:stretch>
                  </pic:blipFill>
                  <pic:spPr>
                    <a:xfrm>
                      <a:off x="0" y="0"/>
                      <a:ext cx="731520" cy="731520"/>
                    </a:xfrm>
                    <a:prstGeom prst="rect"/>
                  </pic:spPr>
                </pic:pic>
              </a:graphicData>
            </a:graphic>
          </wp:inline>
        </w:drawing>
      </w:r>
    </w:p>
    <w:sectPr w:rsidR="00FC693F" w:rsidRPr="0006063C" w:rsidSect="00034616">
      <w:headerReference w:type="first" r:id="rId9"/>
      <w:footerReference w:type="first" r:id="rId10"/>
      <w:headerReference w:type="default" r:id="rId11"/>
      <w:footerReference w:type="default" r:id="rId12"/>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dxa" w:w="9360"/>
      <w:jc w:val="left"/>
      <w:tblLayout w:type="fixed"/>
      <w:tblLook w:firstColumn="1" w:firstRow="1" w:lastColumn="0" w:lastRow="0" w:noHBand="0" w:noVBand="1" w:val="04A0"/>
      <w:tblInd w:type="dxa" w:w="0"/>
      <w:tblBorders>
        <w:top w:val="nil"/>
        <w:start w:val="nil"/>
        <w:bottom w:val="nil"/>
        <w:end w:val="nil"/>
        <w:insideH w:val="nil"/>
        <w:insideV w:val="nil"/>
      </w:tblBorders>
    </w:tblPr>
    <w:tblGrid>
      <w:gridCol w:w="7200"/>
      <w:gridCol w:w="2160"/>
    </w:tblGrid>
    <w:tr>
      <w:trPr/>
      <w:tc>
        <w:tcPr>
          <w:tcW w:type="dxa" w:w="7200"/>
          <w:tcMar>
            <w:top w:w="0" w:type="dxa"/>
            <w:bottom w:w="0" w:type="dxa"/>
            <w:start w:w="0" w:type="dxa"/>
            <w:end w:w="0" w:type="dxa"/>
          </w:tcMar>
        </w:tcPr>
        <w:p>
          <w:pPr>
            <w:spacing w:after="0"/>
          </w:pPr>
          <w:r>
            <w:rPr>
              <w:rFonts w:ascii="Calibri" w:hAnsi="Calibri"/>
              <w:color w:val="5F6B76"/>
              <w:sz w:val="17"/>
            </w:rPr>
            <w:t>github.com/markrpg/modelhop-for-claude-code</w:t>
          </w:r>
        </w:p>
      </w:tc>
      <w:tc>
        <w:tcPr>
          <w:tcW w:type="dxa" w:w="2160"/>
          <w:tcMar>
            <w:top w:w="0" w:type="dxa"/>
            <w:bottom w:w="0" w:type="dxa"/>
            <w:start w:w="0" w:type="dxa"/>
            <w:end w:w="0" w:type="dxa"/>
          </w:tcMar>
        </w:tcPr>
        <w:p>
          <w:pPr>
            <w:spacing w:after="0"/>
            <w:jc w:val="right"/>
          </w:pPr>
          <w:r>
            <w:rPr>
              <w:rFonts w:ascii="Calibri" w:hAnsi="Calibri"/>
              <w:color w:val="5F6B76"/>
              <w:sz w:val="18"/>
            </w:rPr>
            <w:t xml:space="preserve">Page </w:t>
          </w:r>
          <w:r>
            <w:rPr>
              <w:rFonts w:ascii="Calibri" w:hAnsi="Calibri"/>
              <w:color w:val="5F6B76"/>
              <w:sz w:val="18"/>
            </w:rPr>
            <w:fldChar w:fldCharType="begin"/>
            <w:instrText xml:space="preserve"> PAGE </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dxa" w:w="9360"/>
      <w:jc w:val="left"/>
      <w:tblLayout w:type="fixed"/>
      <w:tblLook w:firstColumn="1" w:firstRow="1" w:lastColumn="0" w:lastRow="0" w:noHBand="0" w:noVBand="1" w:val="04A0"/>
      <w:tblInd w:type="dxa" w:w="0"/>
      <w:tblBorders>
        <w:top w:val="nil"/>
        <w:start w:val="nil"/>
        <w:bottom w:val="nil"/>
        <w:end w:val="nil"/>
        <w:insideH w:val="nil"/>
        <w:insideV w:val="nil"/>
      </w:tblBorders>
    </w:tblPr>
    <w:tblGrid>
      <w:gridCol w:w="6400"/>
      <w:gridCol w:w="2960"/>
    </w:tblGrid>
    <w:tr>
      <w:trPr/>
      <w:tc>
        <w:tcPr>
          <w:tcW w:type="dxa" w:w="6400"/>
          <w:tcMar>
            <w:top w:w="0" w:type="dxa"/>
            <w:bottom w:w="0" w:type="dxa"/>
            <w:start w:w="0" w:type="dxa"/>
            <w:end w:w="0" w:type="dxa"/>
          </w:tcMar>
        </w:tcPr>
        <w:p>
          <w:pPr>
            <w:spacing w:after="0"/>
          </w:pPr>
          <w:r>
            <w:rPr>
              <w:rFonts w:ascii="Calibri" w:hAnsi="Calibri"/>
              <w:b/>
              <w:color w:val="5F6B76"/>
              <w:sz w:val="17"/>
            </w:rPr>
            <w:t>MODELHOP FOR CLAUDE CODE</w:t>
          </w:r>
        </w:p>
      </w:tc>
      <w:tc>
        <w:tcPr>
          <w:tcW w:type="dxa" w:w="2960"/>
          <w:tcMar>
            <w:top w:w="0" w:type="dxa"/>
            <w:bottom w:w="0" w:type="dxa"/>
            <w:start w:w="0" w:type="dxa"/>
            <w:end w:w="0" w:type="dxa"/>
          </w:tcMar>
        </w:tcPr>
        <w:p>
          <w:pPr>
            <w:spacing w:after="0"/>
            <w:jc w:val="right"/>
          </w:pPr>
          <w:r>
            <w:rPr>
              <w:rFonts w:ascii="Calibri" w:hAnsi="Calibri"/>
              <w:b/>
              <w:color w:val="5F6B76"/>
              <w:sz w:val="17"/>
            </w:rPr>
            <w:t>PRODUCT OVERVIEW</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720"/>
        </w:tabs>
        <w:ind w:left="720" w:hanging="360"/>
        <w:spacing w:after="160" w:line="280" w:lineRule="auto"/>
      </w:pPr>
      <w:rPr>
        <w:rFonts w:ascii="Calibri" w:hAnsi="Calibri"/>
      </w:rPr>
    </w:lvl>
  </w:abstractNum>
  <w:num w:numId="10">
    <w:abstractNumId w:val="9"/>
  </w:num>
  <w:abstractNum w:abstractNumId="10">
    <w:multiLevelType w:val="singleLevel"/>
    <w:lvl w:ilvl="0">
      <w:start w:val="1"/>
      <w:numFmt w:val="decimal"/>
      <w:lvlText w:val="%1."/>
      <w:lvlJc w:val="left"/>
      <w:pPr>
        <w:tabs>
          <w:tab w:val="num" w:pos="720"/>
        </w:tabs>
        <w:ind w:left="720" w:hanging="360"/>
        <w:spacing w:after="160" w:line="280" w:lineRule="auto"/>
      </w:pPr>
    </w:lvl>
  </w:abstractNum>
  <w:num w:numId="11">
    <w:abstractNumId w:val="10"/>
  </w:num>
  <w:abstractNum w:abstractNumId="11">
    <w:multiLevelType w:val="singleLevel"/>
    <w:lvl w:ilvl="0">
      <w:start w:val="1"/>
      <w:numFmt w:val="decimal"/>
      <w:lvlText w:val="%1."/>
      <w:lvlJc w:val="left"/>
      <w:pPr>
        <w:tabs>
          <w:tab w:val="num" w:pos="720"/>
        </w:tabs>
        <w:ind w:left="720" w:hanging="360"/>
        <w:spacing w:after="160" w:line="280" w:lineRule="auto"/>
      </w:pPr>
    </w:lvl>
  </w:abstractNum>
  <w:num w:numId="12">
    <w:abstractNumId w:val="11"/>
  </w:num>
  <w:abstractNum w:abstractNumId="12">
    <w:multiLevelType w:val="singleLevel"/>
    <w:lvl w:ilvl="0">
      <w:start w:val="1"/>
      <w:numFmt w:val="decimal"/>
      <w:lvlText w:val="%1."/>
      <w:lvlJc w:val="left"/>
      <w:pPr>
        <w:tabs>
          <w:tab w:val="num" w:pos="720"/>
        </w:tabs>
        <w:ind w:left="720" w:hanging="360"/>
        <w:spacing w:after="160" w:line="280" w:lineRule="auto"/>
      </w:pPr>
    </w:lvl>
  </w:abstract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723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160"/>
      <w:jc w:val="center"/>
    </w:pPr>
    <w:rPr>
      <w:rFonts w:ascii="Calibri" w:hAnsi="Calibri"/>
      <w:b/>
      <w:bCs/>
      <w:i w:val="0"/>
      <w:color w:val="5F6B7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hyperlink" Target="https://github.com/markrpg/modelhop-for-claude-code" TargetMode="External"/><Relationship Id="rId15" Type="http://schemas.openxmlformats.org/officeDocument/2006/relationships/image" Target="media/image2.png"/><Relationship Id="rId16" Type="http://schemas.openxmlformats.org/officeDocument/2006/relationships/hyperlink" Target="https://marketplace.visualstudio.com/items?itemName=anthropic.claude-code" TargetMode="External"/><Relationship Id="rId17" Type="http://schemas.openxmlformats.org/officeDocument/2006/relationships/hyperlink" Target="https://synthetic.new/?referral=mTRNs0G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ModelHop for Claude Code — Product Overview</dc:title>
  <dc:subject>Product capabilities and developer problems solved</dc:subject>
  <dc:creator>ModelHop</dc:creator>
  <cp:keywords>Claude Code, ModelHop, Synthetic, OpenAI, Codex, Cursor, VS Code</cp:keywords>
  <dc:description>Prepared from the ModelHop 2.2.4 development workspace.</dc:description>
  <cp:lastModifiedBy>ModelHop</cp:lastModifiedBy>
  <cp:revision>1</cp:revision>
  <dcterms:created xsi:type="dcterms:W3CDTF">2026-08-01T12:00:00Z</dcterms:created>
  <dcterms:modified xsi:type="dcterms:W3CDTF">2026-08-01T12:00:00Z</dcterms:modified>
  <cp:category/>
</cp:coreProperties>
</file>