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No se realizó ninguna prueba (t, Wilcoxon o equivalente) que compare los modelos entre sí.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38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 en captura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Declarar la selección posterior del modelo y que la detección reportada es una estimación optimista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Incorporar los intervalos de confianza a todas las proporciones reportadas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Sustituir las conclusiones sobre familias con n ≤ 6 por declaración de muestra insuficiente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A4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Reportar el error operativo (23–26 %) junto al de laboratorio (4,71 %)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A5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diccionario de fórmulas de las 14 variables nuevas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B1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la prueba de ablación por capas (L3/L4/L7) y la comparación 14 vs. 28 variables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1–2 días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estabilidad por remuestreo del modelo elegido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B3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de significancia entre modelos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47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Capturar una jornada nueva y reservarla como validación temporal externa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C2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Recalibrar el umbral incluyendo tráfico legítimo intenso y repetir la validación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47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1–2 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Con el tiempo disponible se ejecutarán los </w:t>
            </w:r>
            <w:r>
              <w:rPr>
                <w:b/>
                <w:color w:val="131B2E"/>
                <w:sz w:val="19"/>
              </w:rPr>
              <w:t>bloques A y B</w:t>
            </w:r>
            <w:r>
              <w:rPr>
                <w:b w:val="0"/>
                <w:color w:val="131B2E"/>
                <w:sz w:val="19"/>
              </w:rPr>
              <w:t xml:space="preserve"> antes de cerrar la tesis: cubren los dos requisitos formales pendientes y corrigen la principal deficiencia estadística </w:t>
            </w:r>
            <w:r>
              <w:rPr>
                <w:b/>
                <w:color w:val="131B2E"/>
                <w:sz w:val="19"/>
              </w:rPr>
              <w:t>sin requerir experimentación nueva</w:t>
            </w:r>
            <w:r>
              <w:rPr>
                <w:b w:val="0"/>
                <w:color w:val="131B2E"/>
                <w:sz w:val="19"/>
              </w:rPr>
              <w:t xml:space="preserve">. El </w:t>
            </w:r>
            <w:r>
              <w:rPr>
                <w:b/>
                <w:color w:val="131B2E"/>
                <w:sz w:val="19"/>
              </w:rPr>
              <w:t>bloque C</w:t>
            </w:r>
            <w:r>
              <w:rPr>
                <w:b w:val="0"/>
                <w:color w:val="131B2E"/>
                <w:sz w:val="19"/>
              </w:rPr>
              <w:t xml:space="preserve"> se declarará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prioridad antes de cerrar no es mejorar el sistema, sino </w:t>
      </w:r>
      <w:r>
        <w:rPr>
          <w:b/>
          <w:i w:val="0"/>
          <w:color w:val="131B2E"/>
          <w:sz w:val="20"/>
        </w:rPr>
        <w:t>corregir la inferencia</w:t>
      </w:r>
      <w:r>
        <w:rPr>
          <w:b w:val="0"/>
          <w:i w:val="0"/>
          <w:color w:val="131B2E"/>
          <w:sz w:val="20"/>
        </w:rPr>
        <w:t>: declarar la selección posterior del modelo, acompañar cada cifra de su intervalo de confianza y ejecutar la ablación pendiente.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Anexo técnico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>El análisis completo, con las 11 figuras, la comparación de los 7 modelos evaluados y el detalle de cada hallazgo, está disponible en el repositorio del proyecto: docs/entregables/01-evaluacion-critica/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