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sobre el modelo congelado. Existe leave-one-episode-out, pero solo sobre un pipeline descartado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completos de validación operativa con resultados equivalentes (25,8 % y 23,0 %)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confianza de Wilson 95 % sobre todas las proporciones; incorporados a posteriori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8 / 15 puntos  =  53.3 %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Alta en </w:t>
      </w:r>
      <w:r>
        <w:rPr>
          <w:b/>
          <w:i w:val="0"/>
          <w:color w:val="131B2E"/>
          <w:sz w:val="20"/>
        </w:rPr>
        <w:t>reproducibilidad técnica</w:t>
      </w:r>
      <w:r>
        <w:rPr>
          <w:b w:val="0"/>
          <w:i w:val="0"/>
          <w:color w:val="131B2E"/>
          <w:sz w:val="20"/>
        </w:rPr>
        <w:t xml:space="preserve"> —el resultado se vuelve a obtener exactamente— pero baja en </w:t>
      </w:r>
      <w:r>
        <w:rPr>
          <w:b/>
          <w:i w:val="0"/>
          <w:color w:val="131B2E"/>
          <w:sz w:val="20"/>
        </w:rPr>
        <w:t>validación estadística</w:t>
      </w:r>
      <w:r>
        <w:rPr>
          <w:b w:val="0"/>
          <w:i w:val="0"/>
          <w:color w:val="131B2E"/>
          <w:sz w:val="20"/>
        </w:rPr>
        <w:t>: falta validación cruzada sobre el modelo elegido y no hay acuerdo inter-evaluador porque el diseño no lo contempla.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514 archivos versionados y 340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publicados. El repositorio excluye artifacts/ en bloque y esa regla arrastra al dataset (708 KB) y al modelo (8 KB) junto con lo que sí pesa: 60 MB de dependencias y 24 MB de capturas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 semillas registradas, pero no cubren el modelo elegido; el determinismo no se declara como protocolo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Manual de operación y documentación por fases disponibles; falta el manual de implementación técnica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14 / 18 puntos  =  77.8 %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producto. La cadena de integridad (hashes, repositorio limpio, versiones fijadas) es superior a lo habitual. La brecha real es que </w:t>
      </w:r>
      <w:r>
        <w:rPr>
          <w:b/>
          <w:i w:val="0"/>
          <w:color w:val="131B2E"/>
          <w:sz w:val="20"/>
        </w:rPr>
        <w:t>los datos no están publicados</w:t>
      </w:r>
      <w:r>
        <w:rPr>
          <w:b w:val="0"/>
          <w:i w:val="0"/>
          <w:color w:val="131B2E"/>
          <w:sz w:val="20"/>
        </w:rPr>
        <w:t>, lo que impide replicar el entrenamiento de forma independiente.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matriz de cumplimiento del jurado, pero 4 filas sin cerrar y con rutas desactualizadas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10 / 18 puntos  =  55.6 %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53.3 %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77.8 %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55.6 %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62.7 %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62.7 %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los datasets (o un subconjunto) con enlace citable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Completar el manual de implementación técnica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día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32/51 (62.7 %)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39/51 (76.5 %)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sectPr w:rsidR="00FC693F" w:rsidRPr="0006063C" w:rsidSect="00034616"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