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607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e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60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31B2E"/>
          <w:sz w:val="25"/>
        </w:rPr>
        <w:t>Universidad Peruana Unión</w:t>
      </w:r>
    </w:p>
    <w:p>
      <w:pPr>
        <w:jc w:val="center"/>
      </w:pPr>
      <w:r>
        <w:rPr>
          <w:b w:val="0"/>
          <w:color w:val="5B6B8C"/>
          <w:sz w:val="21"/>
        </w:rPr>
        <w:t>Facultad de Ingeniería y Arquitectura</w:t>
      </w:r>
    </w:p>
    <w:p>
      <w:pPr>
        <w:jc w:val="center"/>
      </w:pPr>
      <w:r>
        <w:rPr>
          <w:b w:val="0"/>
          <w:color w:val="5B6B8C"/>
          <w:sz w:val="21"/>
        </w:rPr>
        <w:t>E.P. de Ingeniería de Sistemas</w:t>
      </w:r>
    </w:p>
    <w:p/>
    <w:p>
      <w:pPr>
        <w:jc w:val="center"/>
      </w:pPr>
      <w:r>
        <w:rPr>
          <w:b/>
          <w:color w:val="0F8A7D"/>
          <w:sz w:val="38"/>
        </w:rPr>
        <w:t>FICHA DE AUDITORÍA</w:t>
        <w:br/>
        <w:t>DEL PRODUCTO DE INGENIERÍA VALIDADO</w:t>
      </w:r>
    </w:p>
    <w:p>
      <w:pPr>
        <w:spacing w:before="160"/>
        <w:jc w:val="center"/>
      </w:pPr>
      <w:r>
        <w:rPr>
          <w:i/>
          <w:color w:val="5B6B8C"/>
          <w:sz w:val="22"/>
        </w:rPr>
        <w:t>Detección temprana de comportamientos anómalos en redes de datos</w:t>
        <w:br/>
        <w:t>mediante modelos predictivos y un mecanismo de control inline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04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03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Producto auditado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Sistema de detección de anomalías de red con control inline, desplegado en laboratorio virtualizado (VM02)</w:t>
            </w:r>
          </w:p>
        </w:tc>
      </w:tr>
      <w:tr>
        <w:tc>
          <w:tcPr>
            <w:tcW w:type="dxa" w:w="204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Curso</w:t>
            </w:r>
          </w:p>
        </w:tc>
        <w:tc>
          <w:tcPr>
            <w:tcW w:type="dxa" w:w="7030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Investigación V · Ciclo 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Docente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Ing. Nemias Saboya Ríos</w:t>
            </w:r>
          </w:p>
        </w:tc>
      </w:tr>
      <w:tr>
        <w:tc>
          <w:tcPr>
            <w:tcW w:type="dxa" w:w="204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Integrantes</w:t>
            </w:r>
          </w:p>
        </w:tc>
        <w:tc>
          <w:tcPr>
            <w:tcW w:type="dxa" w:w="7030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Rubén Mark Salazar Tocas</w:t>
              <w:br/>
              <w:t>Uziel Elias Sauñe Fernandez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Fecha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19 de agosto de 2026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FDECD2"/>
          </w:tcPr>
          <w:p>
            <w:r/>
            <w:r>
              <w:rPr>
                <w:b/>
                <w:color w:val="B45309"/>
                <w:sz w:val="20"/>
              </w:rPr>
              <w:t>Nota sobre la rúbrica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La escala y los ítems son una </w:t>
            </w:r>
            <w:r>
              <w:rPr>
                <w:b/>
                <w:color w:val="131B2E"/>
                <w:sz w:val="19"/>
              </w:rPr>
              <w:t>reconstrucción razonada</w:t>
            </w:r>
            <w:r>
              <w:rPr>
                <w:b w:val="0"/>
                <w:color w:val="131B2E"/>
                <w:sz w:val="19"/>
              </w:rPr>
              <w:t xml:space="preserve"> del ejercicio propuesto, porque no se dispuso del formato exacto de la ficha proyectada en clase. La estructura de tres dimensiones —confiabilidad, replicabilidad y pertinencia— y el cálculo de puntaje final sí corresponden a la consigna. Si el formato oficial difiere, los puntajes por ítem se trasladan sin recalcular la evidencia.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Escala de valoración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02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Puntos</w:t>
            </w:r>
          </w:p>
        </w:tc>
        <w:tc>
          <w:tcPr>
            <w:tcW w:type="dxa" w:w="170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635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102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Completo</w:t>
            </w:r>
          </w:p>
        </w:tc>
        <w:tc>
          <w:tcPr>
            <w:tcW w:type="dxa" w:w="635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Existe y es verificable por un tercero</w:t>
            </w:r>
          </w:p>
        </w:tc>
      </w:tr>
      <w:tr>
        <w:tc>
          <w:tcPr>
            <w:tcW w:type="dxa" w:w="102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</w:t>
            </w:r>
          </w:p>
        </w:tc>
        <w:tc>
          <w:tcPr>
            <w:tcW w:type="dxa" w:w="170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Parcial</w:t>
            </w:r>
          </w:p>
        </w:tc>
        <w:tc>
          <w:tcPr>
            <w:tcW w:type="dxa" w:w="6350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Existe pero con limitaciones declaradas</w:t>
            </w:r>
          </w:p>
        </w:tc>
      </w:tr>
      <w:tr>
        <w:tc>
          <w:tcPr>
            <w:tcW w:type="dxa" w:w="102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Insuficiente</w:t>
            </w:r>
          </w:p>
        </w:tc>
        <w:tc>
          <w:tcPr>
            <w:tcW w:type="dxa" w:w="635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Solo declarado, sin evidencia sólida</w:t>
            </w:r>
          </w:p>
        </w:tc>
      </w:tr>
      <w:tr>
        <w:tc>
          <w:tcPr>
            <w:tcW w:type="dxa" w:w="102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</w:t>
            </w:r>
          </w:p>
        </w:tc>
        <w:tc>
          <w:tcPr>
            <w:tcW w:type="dxa" w:w="170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Ausente</w:t>
            </w:r>
          </w:p>
        </w:tc>
        <w:tc>
          <w:tcPr>
            <w:tcW w:type="dxa" w:w="6350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abordó</w:t>
            </w:r>
          </w:p>
        </w:tc>
      </w:tr>
      <w:tr>
        <w:tc>
          <w:tcPr>
            <w:tcW w:type="dxa" w:w="1020"/>
            <w:shd w:val="clear" w:fill="EEF1F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N/A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aplica</w:t>
            </w:r>
          </w:p>
        </w:tc>
        <w:tc>
          <w:tcPr>
            <w:tcW w:type="dxa" w:w="6350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corresponde al tipo de producto (se excluye del cálculo)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1.  Evidencia de CONFIABILIDAD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¿Los resultados son estables y consistentes al repetir la medición?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38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concreta en el proyecto</w:t>
            </w:r>
          </w:p>
        </w:tc>
        <w:tc>
          <w:tcPr>
            <w:tcW w:type="dxa" w:w="68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1.1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Alfa de Cronbach (consistencia interna)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El producto no emplea cuestionarios ni escalas psicométricas; no hay ítems que correlacionar</w:t>
            </w:r>
          </w:p>
        </w:tc>
        <w:tc>
          <w:tcPr>
            <w:tcW w:type="dxa" w:w="680"/>
            <w:shd w:val="clear" w:fill="EEF1F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N/A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1.2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Kappa de Cohen (acuerdo inter-evaluador)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realizó evaluación por jueces ni doble etiquetado independiente; las etiquetas provienen del diseño experimental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1.3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cruzada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aplicó sobre el modelo congelado. Existe leave-one-episode-out, pero solo sobre un pipeline descartado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1.4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Reproducibilidad de la medición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 reevaluar el modelo se obtuvieron exactamente las cifras originales (13/276 y 158/179)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Estabilidad entre repeticiones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Dos pases completos de validación operativa con resultados equivalentes (25,8 % y 23,0 %)</w:t>
            </w:r>
          </w:p>
        </w:tc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1.6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Cuantificación de la incertidumbre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Intervalos de confianza de Wilson 95 % sobre todas las proporciones; incorporados a posteriori</w:t>
            </w:r>
          </w:p>
        </w:tc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</w:t>
            </w:r>
          </w:p>
        </w:tc>
      </w:tr>
    </w:tbl>
    <w:p>
      <w:pPr>
        <w:spacing w:before="120"/>
      </w:pPr>
      <w:r>
        <w:rPr>
          <w:b/>
          <w:color w:val="B45309"/>
          <w:sz w:val="23"/>
        </w:rPr>
        <w:t>Subtotal: 8 / 15 puntos  =  53.3 %</w:t>
      </w:r>
    </w:p>
    <w:p>
      <w:pPr>
        <w:spacing w:after="120"/>
        <w:jc w:val="both"/>
      </w:pPr>
      <w:r>
        <w:rPr>
          <w:b/>
          <w:i w:val="0"/>
          <w:color w:val="131B2E"/>
          <w:sz w:val="20"/>
        </w:rPr>
        <w:t>Lectura.</w:t>
      </w:r>
      <w:r>
        <w:rPr>
          <w:b w:val="0"/>
          <w:i w:val="0"/>
          <w:color w:val="131B2E"/>
          <w:sz w:val="20"/>
        </w:rPr>
        <w:t xml:space="preserve"> Alta en </w:t>
      </w:r>
      <w:r>
        <w:rPr>
          <w:b/>
          <w:i w:val="0"/>
          <w:color w:val="131B2E"/>
          <w:sz w:val="20"/>
        </w:rPr>
        <w:t>reproducibilidad técnica</w:t>
      </w:r>
      <w:r>
        <w:rPr>
          <w:b w:val="0"/>
          <w:i w:val="0"/>
          <w:color w:val="131B2E"/>
          <w:sz w:val="20"/>
        </w:rPr>
        <w:t xml:space="preserve"> —el resultado se vuelve a obtener exactamente— pero baja en </w:t>
      </w:r>
      <w:r>
        <w:rPr>
          <w:b/>
          <w:i w:val="0"/>
          <w:color w:val="131B2E"/>
          <w:sz w:val="20"/>
        </w:rPr>
        <w:t>validación estadística</w:t>
      </w:r>
      <w:r>
        <w:rPr>
          <w:b w:val="0"/>
          <w:i w:val="0"/>
          <w:color w:val="131B2E"/>
          <w:sz w:val="20"/>
        </w:rPr>
        <w:t>: falta validación cruzada sobre el modelo elegido y no hay acuerdo inter-evaluador porque el diseño no lo contempla.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2.  Evidencia de REPLICABILIDAD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¿Puede un tercero reconstruir el estudio y obtener lo mismo?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38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concreta en el proyecto</w:t>
            </w:r>
          </w:p>
        </w:tc>
        <w:tc>
          <w:tcPr>
            <w:tcW w:type="dxa" w:w="68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2.1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Código disponible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Repositorio público con 507 archivos versionados y 330 registros de cambios trazables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2.2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Datos disponibles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Los datasets NO están publicados: excluidos del repositorio por tamaño. Impide reproducir el entrenamiento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2.3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Entorno documentado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Versiones exactas fijadas, script de instalación idempotente y playbooks de Ansible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2.4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Determinismo y semillas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10 semillas registradas, pero no cubren el modelo elegido; el determinismo no se declara como protocolo</w:t>
            </w:r>
          </w:p>
        </w:tc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Integridad verificable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SHA-256 de datos, modelo y calibrador; repositorio verificado limpio antes y después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2.6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Instrucciones de reproducción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Manual de operación y documentación por fases disponibles; falta el manual de implementación técnica</w:t>
            </w:r>
          </w:p>
        </w:tc>
        <w:tc>
          <w:tcPr>
            <w:tcW w:type="dxa" w:w="680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</w:t>
            </w:r>
          </w:p>
        </w:tc>
      </w:tr>
    </w:tbl>
    <w:p>
      <w:pPr>
        <w:spacing w:before="120"/>
      </w:pPr>
      <w:r>
        <w:rPr>
          <w:b/>
          <w:color w:val="15803D"/>
          <w:sz w:val="23"/>
        </w:rPr>
        <w:t>Subtotal: 14 / 18 puntos  =  77.8 %</w:t>
      </w:r>
    </w:p>
    <w:p>
      <w:pPr>
        <w:spacing w:after="120"/>
        <w:jc w:val="both"/>
      </w:pPr>
      <w:r>
        <w:rPr>
          <w:b/>
          <w:i w:val="0"/>
          <w:color w:val="131B2E"/>
          <w:sz w:val="20"/>
        </w:rPr>
        <w:t>Lectura.</w:t>
      </w:r>
      <w:r>
        <w:rPr>
          <w:b w:val="0"/>
          <w:i w:val="0"/>
          <w:color w:val="131B2E"/>
          <w:sz w:val="20"/>
        </w:rPr>
        <w:t xml:space="preserve"> Es la dimensión </w:t>
      </w:r>
      <w:r>
        <w:rPr>
          <w:b/>
          <w:i w:val="0"/>
          <w:color w:val="131B2E"/>
          <w:sz w:val="20"/>
        </w:rPr>
        <w:t>más fuerte</w:t>
      </w:r>
      <w:r>
        <w:rPr>
          <w:b w:val="0"/>
          <w:i w:val="0"/>
          <w:color w:val="131B2E"/>
          <w:sz w:val="20"/>
        </w:rPr>
        <w:t xml:space="preserve"> del producto. La cadena de integridad (hashes, repositorio limpio, versiones fijadas) es superior a lo habitual. La brecha real es que </w:t>
      </w:r>
      <w:r>
        <w:rPr>
          <w:b/>
          <w:i w:val="0"/>
          <w:color w:val="131B2E"/>
          <w:sz w:val="20"/>
        </w:rPr>
        <w:t>los datos no están publicados</w:t>
      </w:r>
      <w:r>
        <w:rPr>
          <w:b w:val="0"/>
          <w:i w:val="0"/>
          <w:color w:val="131B2E"/>
          <w:sz w:val="20"/>
        </w:rPr>
        <w:t>, lo que impide replicar el entrenamiento de forma independiente.</w:t>
      </w:r>
    </w:p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3.  Evidencia de PERTINENCIA</w:t>
      </w:r>
    </w:p>
    <w:p>
      <w:pPr>
        <w:spacing w:after="120"/>
        <w:jc w:val="both"/>
      </w:pPr>
      <w:r>
        <w:rPr>
          <w:b w:val="0"/>
          <w:i/>
          <w:color w:val="5B6B8C"/>
          <w:sz w:val="20"/>
        </w:rPr>
        <w:t>¿El producto responde al problema real y su utilidad está demostrada?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3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38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Evidencia concreta en el proyecto</w:t>
            </w:r>
          </w:p>
        </w:tc>
        <w:tc>
          <w:tcPr>
            <w:tcW w:type="dxa" w:w="680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Pts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3.1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con usuarios reales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realizó. Sin pruebas con analistas de seguridad ni medición de experiencia de uso del panel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3.2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Evaluación por expertos o jueces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No se aplicó ningún instrumento de juicio experto (Delphi, SUS u otro)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3.3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Trazabilidad de requisitos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Existe matriz de cumplimiento del jurado, pero 4 filas sin cerrar y con rutas desactualizadas</w:t>
            </w:r>
          </w:p>
        </w:tc>
        <w:tc>
          <w:tcPr>
            <w:tcW w:type="dxa" w:w="680"/>
            <w:shd w:val="clear" w:fill="FBE3E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3.4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Validación en operación real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Sistema medido desplegado y activo: 2 pases de 29 corridas con motor y bloqueo sobre tráfico real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3.5</w:t>
            </w:r>
          </w:p>
        </w:tc>
        <w:tc>
          <w:tcPr>
            <w:tcW w:type="dxa" w:w="2438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Alineación con el problema</w:t>
            </w:r>
          </w:p>
        </w:tc>
        <w:tc>
          <w:tcPr>
            <w:tcW w:type="dxa" w:w="538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Detecta y bloquea las 6 familias de ataque previstas, con métricas medidas por familia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  <w:tr>
        <w:tc>
          <w:tcPr>
            <w:tcW w:type="dxa" w:w="56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3.6</w:t>
            </w:r>
          </w:p>
        </w:tc>
        <w:tc>
          <w:tcPr>
            <w:tcW w:type="dxa" w:w="2438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Alcance y limitaciones declarados</w:t>
            </w:r>
          </w:p>
        </w:tc>
        <w:tc>
          <w:tcPr>
            <w:tcW w:type="dxa" w:w="538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Limitaciones medidas, cuantificadas y publicadas, incluido el error operativo desfavorable (23–26 %)</w:t>
            </w:r>
          </w:p>
        </w:tc>
        <w:tc>
          <w:tcPr>
            <w:tcW w:type="dxa" w:w="680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</w:t>
            </w:r>
          </w:p>
        </w:tc>
      </w:tr>
    </w:tbl>
    <w:p>
      <w:pPr>
        <w:spacing w:before="120"/>
      </w:pPr>
      <w:r>
        <w:rPr>
          <w:b/>
          <w:color w:val="B45309"/>
          <w:sz w:val="23"/>
        </w:rPr>
        <w:t>Subtotal: 10 / 18 puntos  =  55.6 %</w:t>
      </w:r>
    </w:p>
    <w:p>
      <w:pPr>
        <w:spacing w:after="120"/>
        <w:jc w:val="both"/>
      </w:pPr>
      <w:r>
        <w:rPr>
          <w:b/>
          <w:i w:val="0"/>
          <w:color w:val="131B2E"/>
          <w:sz w:val="20"/>
        </w:rPr>
        <w:t>Lectura.</w:t>
      </w:r>
      <w:r>
        <w:rPr>
          <w:b w:val="0"/>
          <w:i w:val="0"/>
          <w:color w:val="131B2E"/>
          <w:sz w:val="20"/>
        </w:rPr>
        <w:t xml:space="preserve"> El producto es </w:t>
      </w:r>
      <w:r>
        <w:rPr>
          <w:b/>
          <w:i w:val="0"/>
          <w:color w:val="131B2E"/>
          <w:sz w:val="20"/>
        </w:rPr>
        <w:t>técnicamente pertinente</w:t>
      </w:r>
      <w:r>
        <w:rPr>
          <w:b w:val="0"/>
          <w:i w:val="0"/>
          <w:color w:val="131B2E"/>
          <w:sz w:val="20"/>
        </w:rPr>
        <w:t xml:space="preserve"> —resuelve el problema y se probó en operación real— pero carece de </w:t>
      </w:r>
      <w:r>
        <w:rPr>
          <w:b/>
          <w:i w:val="0"/>
          <w:color w:val="131B2E"/>
          <w:sz w:val="20"/>
        </w:rPr>
        <w:t>validación con personas</w:t>
      </w:r>
      <w:r>
        <w:rPr>
          <w:b w:val="0"/>
          <w:i w:val="0"/>
          <w:color w:val="131B2E"/>
          <w:sz w:val="20"/>
        </w:rPr>
        <w:t>: nadie externo al equipo lo ha usado ni evaluado. Para un producto cuya interfaz es un panel destinado a un analista, esa ausencia pesa.</w:t>
      </w:r>
    </w:p>
    <w:p>
      <w:r>
        <w:br w:type="page"/>
      </w:r>
    </w:p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4.  Puntaje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49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Dimensión</w:t>
            </w:r>
          </w:p>
        </w:tc>
        <w:tc>
          <w:tcPr>
            <w:tcW w:type="dxa" w:w="147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Obtenido</w:t>
            </w:r>
          </w:p>
        </w:tc>
        <w:tc>
          <w:tcPr>
            <w:tcW w:type="dxa" w:w="136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Máximo</w:t>
            </w:r>
          </w:p>
        </w:tc>
        <w:tc>
          <w:tcPr>
            <w:tcW w:type="dxa" w:w="1814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Porcentaje</w:t>
            </w:r>
          </w:p>
        </w:tc>
        <w:tc>
          <w:tcPr>
            <w:tcW w:type="dxa" w:w="1928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Confiabilidad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8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15</w:t>
            </w:r>
          </w:p>
        </w:tc>
        <w:tc>
          <w:tcPr>
            <w:tcW w:type="dxa" w:w="181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53.3 %</w:t>
            </w:r>
          </w:p>
        </w:tc>
        <w:tc>
          <w:tcPr>
            <w:tcW w:type="dxa" w:w="1928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Medio</w:t>
            </w:r>
          </w:p>
        </w:tc>
      </w:tr>
      <w:tr>
        <w:tc>
          <w:tcPr>
            <w:tcW w:type="dxa" w:w="249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Replicabilidad</w:t>
            </w:r>
          </w:p>
        </w:tc>
        <w:tc>
          <w:tcPr>
            <w:tcW w:type="dxa" w:w="147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14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18</w:t>
            </w:r>
          </w:p>
        </w:tc>
        <w:tc>
          <w:tcPr>
            <w:tcW w:type="dxa" w:w="1814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77.8 %</w:t>
            </w:r>
          </w:p>
        </w:tc>
        <w:tc>
          <w:tcPr>
            <w:tcW w:type="dxa" w:w="1928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Alto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Pertinencia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10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18</w:t>
            </w:r>
          </w:p>
        </w:tc>
        <w:tc>
          <w:tcPr>
            <w:tcW w:type="dxa" w:w="181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55.6 %</w:t>
            </w:r>
          </w:p>
        </w:tc>
        <w:tc>
          <w:tcPr>
            <w:tcW w:type="dxa" w:w="1928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Medio</w:t>
            </w:r>
          </w:p>
        </w:tc>
      </w:tr>
      <w:tr>
        <w:tc>
          <w:tcPr>
            <w:tcW w:type="dxa" w:w="249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TOTAL</w:t>
            </w:r>
          </w:p>
        </w:tc>
        <w:tc>
          <w:tcPr>
            <w:tcW w:type="dxa" w:w="1474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32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51</w:t>
            </w:r>
          </w:p>
        </w:tc>
        <w:tc>
          <w:tcPr>
            <w:tcW w:type="dxa" w:w="1814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62.7 %</w:t>
            </w:r>
          </w:p>
        </w:tc>
        <w:tc>
          <w:tcPr>
            <w:tcW w:type="dxa" w:w="1928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Medio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Interpretación del 62.7 %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Describe con precisión el estado del producto: </w:t>
            </w:r>
            <w:r>
              <w:rPr>
                <w:b/>
                <w:color w:val="131B2E"/>
                <w:sz w:val="19"/>
              </w:rPr>
              <w:t>sólido como artefacto de ingeniería, incompleto como evidencia científica</w:t>
            </w:r>
            <w:r>
              <w:rPr>
                <w:b w:val="0"/>
                <w:color w:val="131B2E"/>
                <w:sz w:val="19"/>
              </w:rPr>
              <w:t xml:space="preserve">. Lo que sostiene el puntaje es la </w:t>
            </w:r>
            <w:r>
              <w:rPr>
                <w:b/>
                <w:color w:val="131B2E"/>
                <w:sz w:val="19"/>
              </w:rPr>
              <w:t>replicabilidad</w:t>
            </w:r>
            <w:r>
              <w:rPr>
                <w:b w:val="0"/>
                <w:color w:val="131B2E"/>
                <w:sz w:val="19"/>
              </w:rPr>
              <w:t xml:space="preserve"> (77,8 %): el trabajo es verificable, versionado y auditable. Lo que lo baja son dos ausencias distintas: </w:t>
            </w:r>
            <w:r>
              <w:rPr>
                <w:b/>
                <w:color w:val="131B2E"/>
                <w:sz w:val="19"/>
              </w:rPr>
              <w:t>validación estadística</w:t>
            </w:r>
            <w:r>
              <w:rPr>
                <w:b w:val="0"/>
                <w:color w:val="131B2E"/>
                <w:sz w:val="19"/>
              </w:rPr>
              <w:t xml:space="preserve"> (sin validación cruzada del modelo elegido) y </w:t>
            </w:r>
            <w:r>
              <w:rPr>
                <w:b/>
                <w:color w:val="131B2E"/>
                <w:sz w:val="19"/>
              </w:rPr>
              <w:t>validación humana</w:t>
            </w:r>
            <w:r>
              <w:rPr>
                <w:b w:val="0"/>
                <w:color w:val="131B2E"/>
                <w:sz w:val="19"/>
              </w:rPr>
              <w:t xml:space="preserve"> (ningún usuario o experto externo lo evaluó). Ninguna invalida los resultados; ambas </w:t>
            </w:r>
            <w:r>
              <w:rPr>
                <w:b/>
                <w:color w:val="131B2E"/>
                <w:sz w:val="19"/>
              </w:rPr>
              <w:t>limitan el alcance de lo que puede afirmarse</w:t>
            </w:r>
            <w:r>
              <w:rPr>
                <w:b w:val="0"/>
                <w:color w:val="131B2E"/>
                <w:sz w:val="19"/>
              </w:rPr>
              <w:t xml:space="preserve"> con ellos.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5.  Acciones para elevar el puntaje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Ordenadas por costo. Las de horas y días </w:t>
      </w:r>
      <w:r>
        <w:rPr>
          <w:b/>
          <w:i w:val="0"/>
          <w:color w:val="131B2E"/>
          <w:sz w:val="20"/>
        </w:rPr>
        <w:t>no requieren capturar datos nuevos</w:t>
      </w:r>
      <w:r>
        <w:rPr>
          <w:b w:val="0"/>
          <w:i w:val="0"/>
          <w:color w:val="131B2E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4876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24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Sube</w:t>
            </w:r>
          </w:p>
        </w:tc>
        <w:tc>
          <w:tcPr>
            <w:tcW w:type="dxa" w:w="1361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De → a</w:t>
            </w:r>
          </w:p>
        </w:tc>
        <w:tc>
          <w:tcPr>
            <w:tcW w:type="dxa" w:w="1587"/>
            <w:shd w:val="clear" w:fill="0F8A7D"/>
          </w:tcPr>
          <w:p>
            <w:r/>
            <w:r>
              <w:rPr>
                <w:rFonts w:ascii="Calibri" w:hAnsi="Calibri"/>
                <w:b/>
                <w:color w:val="FFFFFF"/>
                <w:sz w:val="19"/>
              </w:rPr>
              <w:t>Tiempo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Publicar los datasets (o un subconjunto) con enlace citable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2.2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 → 3</w:t>
            </w:r>
          </w:p>
        </w:tc>
        <w:tc>
          <w:tcPr>
            <w:tcW w:type="dxa" w:w="158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487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Ejecutar validación cruzada sobre el modelo congelado</w:t>
            </w:r>
          </w:p>
        </w:tc>
        <w:tc>
          <w:tcPr>
            <w:tcW w:type="dxa" w:w="124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1.3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 → 3</w:t>
            </w:r>
          </w:p>
        </w:tc>
        <w:tc>
          <w:tcPr>
            <w:tcW w:type="dxa" w:w="158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Cerrar y actualizar la matriz de trazabilidad de requisitos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3.3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 → 3</w:t>
            </w:r>
          </w:p>
        </w:tc>
        <w:tc>
          <w:tcPr>
            <w:tcW w:type="dxa" w:w="158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487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Documentar semillas y determinismo como protocolo explícito</w:t>
            </w:r>
          </w:p>
        </w:tc>
        <w:tc>
          <w:tcPr>
            <w:tcW w:type="dxa" w:w="124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2.4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 → 3</w:t>
            </w:r>
          </w:p>
        </w:tc>
        <w:tc>
          <w:tcPr>
            <w:tcW w:type="dxa" w:w="1587"/>
            <w:shd w:val="clear" w:fill="E0F3E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Horas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Completar el manual de implementación técnica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2.6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 → 3</w:t>
            </w:r>
          </w:p>
        </w:tc>
        <w:tc>
          <w:tcPr>
            <w:tcW w:type="dxa" w:w="158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 día</w:t>
            </w:r>
          </w:p>
        </w:tc>
      </w:tr>
      <w:tr>
        <w:tc>
          <w:tcPr>
            <w:tcW w:type="dxa" w:w="4876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Aplicar un instrumento validado (SUS) con 5–8 evaluadores</w:t>
            </w:r>
          </w:p>
        </w:tc>
        <w:tc>
          <w:tcPr>
            <w:tcW w:type="dxa" w:w="1247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3.1 · 3.2</w:t>
            </w:r>
          </w:p>
        </w:tc>
        <w:tc>
          <w:tcPr>
            <w:tcW w:type="dxa" w:w="1361"/>
            <w:shd w:val="clear" w:fill="F4F6FB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0 → 2</w:t>
            </w:r>
          </w:p>
        </w:tc>
        <w:tc>
          <w:tcPr>
            <w:tcW w:type="dxa" w:w="158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3–5 días</w:t>
            </w:r>
          </w:p>
        </w:tc>
      </w:tr>
      <w:tr>
        <w:tc>
          <w:tcPr>
            <w:tcW w:type="dxa" w:w="4876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Repetir la validación operativa para tener más de dos mediciones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1.5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2 → 3</w:t>
            </w:r>
          </w:p>
        </w:tc>
        <w:tc>
          <w:tcPr>
            <w:tcW w:type="dxa" w:w="1587"/>
            <w:shd w:val="clear" w:fill="FDECD2"/>
          </w:tcPr>
          <w:p>
            <w:r/>
            <w:r>
              <w:rPr>
                <w:rFonts w:ascii="Calibri" w:hAnsi="Calibri"/>
                <w:b w:val="0"/>
                <w:color w:val="131B2E"/>
                <w:sz w:val="19"/>
              </w:rPr>
              <w:t>Días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EEF1F8"/>
          </w:tcPr>
          <w:p>
            <w:r/>
            <w:r>
              <w:rPr>
                <w:b/>
                <w:color w:val="0F8A7D"/>
                <w:sz w:val="20"/>
              </w:rPr>
              <w:t>Proyección realista</w:t>
            </w:r>
          </w:p>
          <w:p>
            <w:pPr>
              <w:jc w:val="both"/>
            </w:pPr>
            <w:r>
              <w:rPr>
                <w:b w:val="0"/>
                <w:color w:val="131B2E"/>
                <w:sz w:val="19"/>
              </w:rPr>
              <w:t xml:space="preserve">Ejecutando solo las acciones de </w:t>
            </w:r>
            <w:r>
              <w:rPr>
                <w:b/>
                <w:color w:val="131B2E"/>
                <w:sz w:val="19"/>
              </w:rPr>
              <w:t>horas</w:t>
            </w:r>
            <w:r>
              <w:rPr>
                <w:b w:val="0"/>
                <w:color w:val="131B2E"/>
                <w:sz w:val="19"/>
              </w:rPr>
              <w:t xml:space="preserve">, el puntaje pasaría de </w:t>
            </w:r>
            <w:r>
              <w:rPr>
                <w:b/>
                <w:color w:val="131B2E"/>
                <w:sz w:val="19"/>
              </w:rPr>
              <w:t>32/51 (62.7 %)</w:t>
            </w:r>
            <w:r>
              <w:rPr>
                <w:b w:val="0"/>
                <w:color w:val="131B2E"/>
                <w:sz w:val="19"/>
              </w:rPr>
              <w:t xml:space="preserve"> a </w:t>
            </w:r>
            <w:r>
              <w:rPr>
                <w:b/>
                <w:color w:val="131B2E"/>
                <w:sz w:val="19"/>
              </w:rPr>
              <w:t>39/51 (76.5 %)</w:t>
            </w:r>
            <w:r>
              <w:rPr>
                <w:b w:val="0"/>
                <w:color w:val="131B2E"/>
                <w:sz w:val="19"/>
              </w:rPr>
              <w:t xml:space="preserve"> sin experimentación nueva. Añadiendo el manual técnico y la evaluación con usuarios, superaría el </w:t>
            </w:r>
            <w:r>
              <w:rPr>
                <w:b/>
                <w:color w:val="131B2E"/>
                <w:sz w:val="19"/>
              </w:rPr>
              <w:t>85 %</w:t>
            </w:r>
            <w:r>
              <w:rPr>
                <w:b w:val="0"/>
                <w:color w:val="131B2E"/>
                <w:sz w:val="19"/>
              </w:rPr>
              <w:t>.</w:t>
            </w:r>
          </w:p>
        </w:tc>
      </w:tr>
    </w:tbl>
    <w:p/>
    <w:p>
      <w:pPr>
        <w:spacing w:before="320" w:after="120"/>
        <w:pBdr>
          <w:bottom w:val="single" w:sz="8" w:color="0F8A7D"/>
        </w:pBdr>
      </w:pPr>
      <w:r>
        <w:rPr>
          <w:b/>
          <w:color w:val="131B2E"/>
          <w:sz w:val="28"/>
        </w:rPr>
        <w:t>6.  Conclusión de la auditoría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El producto </w:t>
      </w:r>
      <w:r>
        <w:rPr>
          <w:b/>
          <w:i w:val="0"/>
          <w:color w:val="131B2E"/>
          <w:sz w:val="20"/>
        </w:rPr>
        <w:t>está validado como artefacto de ingeniería</w:t>
      </w:r>
      <w:r>
        <w:rPr>
          <w:b w:val="0"/>
          <w:i w:val="0"/>
          <w:color w:val="131B2E"/>
          <w:sz w:val="20"/>
        </w:rPr>
        <w:t xml:space="preserve">: funciona, se midió en operación real y sus resultados se pueden reproducir exactamente. Lo que la auditoría expone no son fallos del sistema, sino </w:t>
      </w:r>
      <w:r>
        <w:rPr>
          <w:b/>
          <w:i w:val="0"/>
          <w:color w:val="131B2E"/>
          <w:sz w:val="20"/>
        </w:rPr>
        <w:t>huecos en la evidencia que lo respalda</w:t>
      </w:r>
      <w:r>
        <w:rPr>
          <w:b w:val="0"/>
          <w:i w:val="0"/>
          <w:color w:val="131B2E"/>
          <w:sz w:val="20"/>
        </w:rPr>
        <w:t>: falta validación cruzada, faltan los datos publicados y falta que alguien ajeno al equipo lo haya usado.</w:t>
      </w:r>
    </w:p>
    <w:p>
      <w:pPr>
        <w:spacing w:after="120"/>
        <w:jc w:val="both"/>
      </w:pPr>
      <w:r>
        <w:rPr>
          <w:b w:val="0"/>
          <w:i w:val="0"/>
          <w:color w:val="131B2E"/>
          <w:sz w:val="20"/>
        </w:rPr>
        <w:t xml:space="preserve">La ventaja es que </w:t>
      </w:r>
      <w:r>
        <w:rPr>
          <w:b/>
          <w:i w:val="0"/>
          <w:color w:val="131B2E"/>
          <w:sz w:val="20"/>
        </w:rPr>
        <w:t>la mayor parte de esos huecos se cierra en horas</w:t>
      </w:r>
      <w:r>
        <w:rPr>
          <w:b w:val="0"/>
          <w:i w:val="0"/>
          <w:color w:val="131B2E"/>
          <w:sz w:val="20"/>
        </w:rPr>
        <w:t>, porque el material ya existe y solo requiere publicarse o ejecutarse. La excepción es la validación con usuarios, que exige planificar una sesión con evaluadores externos.</w:t>
      </w:r>
    </w:p>
    <w:sectPr w:rsidR="00FC693F" w:rsidRPr="0006063C" w:rsidSect="00034616">
      <w:pgSz w:w="12240" w:h="15840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