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398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398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131B2E"/>
          <w:sz w:val="20"/>
        </w:rPr>
        <w:t>Universidad Peruana Unión</w:t>
      </w:r>
    </w:p>
    <w:p>
      <w:pPr>
        <w:spacing w:after="20"/>
        <w:jc w:val="center"/>
      </w:pPr>
      <w:r>
        <w:rPr>
          <w:b w:val="0"/>
          <w:color w:val="5B6B8C"/>
          <w:sz w:val="16"/>
        </w:rPr>
        <w:t>Facultad de Ingeniería y Arquitectura · E.P. de Ingeniería de Sistemas</w:t>
      </w:r>
    </w:p>
    <w:p>
      <w:pPr>
        <w:spacing w:after="20"/>
        <w:jc w:val="center"/>
      </w:pPr>
      <w:r>
        <w:rPr>
          <w:b w:val="0"/>
          <w:color w:val="5B6B8C"/>
          <w:sz w:val="16"/>
        </w:rPr>
        <w:t>Investigación V · Sesión 01</w:t>
      </w:r>
    </w:p>
    <w:p>
      <w:pPr>
        <w:spacing w:before="140" w:after="40"/>
        <w:jc w:val="center"/>
      </w:pPr>
      <w:r>
        <w:rPr>
          <w:b/>
          <w:color w:val="1F4E79"/>
          <w:sz w:val="29"/>
        </w:rPr>
        <w:t>INFORME DE EVALUACIÓN CRÍTICA DE RESULTADOS</w:t>
      </w:r>
    </w:p>
    <w:p>
      <w:pPr>
        <w:spacing w:after="180"/>
        <w:jc w:val="center"/>
      </w:pPr>
      <w:r>
        <w:rPr>
          <w:b w:val="0"/>
          <w:i w:val="0"/>
          <w:color w:val="5B6B8C"/>
          <w:sz w:val="18"/>
        </w:rPr>
        <w:t>Sistema open source para la detección temprana de comportamientos anómalos en redes de datos</w:t>
        <w:br/>
        <w:t>Rubén Mark Salazar Tocas · Uziel Elias Sauñe Fernandez</w:t>
        <w:br/>
        <w:t>Asesores: Ing. Nemias Saboya Ríos · Ing. Fernando Manuel Asin Gómez</w:t>
      </w:r>
    </w:p>
    <w:p>
      <w:pPr>
        <w:spacing w:after="140"/>
        <w:jc w:val="center"/>
      </w:pPr>
      <w:r>
        <w:rPr>
          <w:b/>
          <w:i w:val="0"/>
          <w:color w:val="5B6B8C"/>
          <w:sz w:val="16"/>
        </w:rPr>
        <w:t>Entregable de la Sesión 01.</w:t>
      </w:r>
      <w:r>
        <w:rPr>
          <w:b w:val="0"/>
          <w:i w:val="0"/>
          <w:color w:val="5B6B8C"/>
          <w:sz w:val="16"/>
        </w:rPr>
        <w:t xml:space="preserve"> Este documento es el informe de resultados y evaluación crítica; el plan prospectivo de la Sesión 02 está en </w:t>
      </w:r>
      <w:r>
        <w:rPr>
          <w:rFonts w:ascii="Consolas" w:hAnsi="Consolas"/>
          <w:b w:val="0"/>
          <w:i w:val="0"/>
          <w:color w:val="5B6B8C"/>
          <w:sz w:val="16"/>
        </w:rPr>
        <w:t>07-plan-de-validacion/plan-de-validacion-de-resultados.md</w:t>
      </w:r>
      <w:r>
        <w:rPr>
          <w:b w:val="0"/>
          <w:i w:val="0"/>
          <w:color w:val="5B6B8C"/>
          <w:sz w:val="16"/>
        </w:rPr>
        <w:t>.</w:t>
      </w:r>
    </w:p>
    <w:p>
      <w:pPr>
        <w:spacing w:before="220" w:after="80"/>
      </w:pPr>
      <w:r>
        <w:rPr>
          <w:b/>
          <w:color w:val="1F4E79"/>
          <w:sz w:val="25"/>
        </w:rPr>
        <w:t>1 ·  Lo que está listo: qué se abordó de manera objetiva</w:t>
      </w:r>
    </w:p>
    <w:p>
      <w:pPr>
        <w:spacing w:after="100"/>
        <w:jc w:val="both"/>
      </w:pPr>
      <w:r>
        <w:rPr>
          <w:b w:val="0"/>
          <w:i w:val="0"/>
          <w:color w:val="131B2E"/>
          <w:sz w:val="18"/>
        </w:rPr>
        <w:t xml:space="preserve">El producto es un sistema desplegado que detecta comportamiento anómalo y </w:t>
      </w:r>
      <w:r>
        <w:rPr>
          <w:b/>
          <w:i w:val="0"/>
          <w:color w:val="131B2E"/>
          <w:sz w:val="18"/>
        </w:rPr>
        <w:t>bloquea la IP ofensora en el propio router</w:t>
      </w:r>
      <w:r>
        <w:rPr>
          <w:b w:val="0"/>
          <w:i w:val="0"/>
          <w:color w:val="131B2E"/>
          <w:sz w:val="18"/>
        </w:rPr>
        <w:t xml:space="preserve">, validado sobre tráfico real de laboratorio. Toda cifra procede de artefactos verificables; ninguna se transcribe a mano. La evaluación se ordena por los </w:t>
      </w:r>
      <w:r>
        <w:rPr>
          <w:b/>
          <w:i w:val="0"/>
          <w:color w:val="131B2E"/>
          <w:sz w:val="18"/>
        </w:rPr>
        <w:t>criterios de validez y confiabilidad</w:t>
      </w:r>
      <w:r>
        <w:rPr>
          <w:b w:val="0"/>
          <w:i w:val="0"/>
          <w:color w:val="131B2E"/>
          <w:sz w:val="18"/>
        </w:rPr>
        <w:t xml:space="preserve"> trabajados en la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Criterio de la sesión</w:t>
            </w:r>
          </w:p>
        </w:tc>
        <w:tc>
          <w:tcPr>
            <w:tcW w:type="dxa" w:w="521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Cómo se abordó en este proyecto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268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Validez interna</w:t>
            </w:r>
            <w:r>
              <w:rPr>
                <w:b w:val="0"/>
                <w:i w:val="0"/>
                <w:color w:val="131B2E"/>
                <w:sz w:val="16"/>
              </w:rPr>
              <w:br/>
            </w:r>
            <w:r>
              <w:rPr>
                <w:b w:val="0"/>
                <w:i/>
                <w:color w:val="131B2E"/>
                <w:sz w:val="16"/>
              </w:rPr>
              <w:t>¿El resultado se debe a lo que decimos, o algo lo contamina?</w:t>
            </w:r>
          </w:p>
        </w:tc>
        <w:tc>
          <w:tcPr>
            <w:tcW w:type="dxa" w:w="5216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Nuestros datos</w:t>
            </w:r>
            <w:r>
              <w:rPr>
                <w:b w:val="0"/>
                <w:i w:val="0"/>
                <w:color w:val="131B2E"/>
                <w:sz w:val="16"/>
              </w:rPr>
              <w:t xml:space="preserve"> se reparten por corrida completa, no al azar: así el modelo no puede reconocer la corrida en vez del ataque. Detectamos una fuga real y la corregimos.</w:t>
            </w:r>
          </w:p>
        </w:tc>
        <w:tc>
          <w:tcPr>
            <w:tcW w:type="dxa" w:w="238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Abordada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Validez externa</w:t>
            </w:r>
            <w:r>
              <w:rPr>
                <w:b w:val="0"/>
                <w:i w:val="0"/>
                <w:color w:val="131B2E"/>
                <w:sz w:val="16"/>
              </w:rPr>
              <w:br/>
            </w:r>
            <w:r>
              <w:rPr>
                <w:b w:val="0"/>
                <w:i/>
                <w:color w:val="131B2E"/>
                <w:sz w:val="16"/>
              </w:rPr>
              <w:t>¿Funcionaría fuera de nuestro laboratorio?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Nuestro modelo</w:t>
            </w:r>
            <w:r>
              <w:rPr>
                <w:b w:val="0"/>
                <w:i w:val="0"/>
                <w:color w:val="131B2E"/>
                <w:sz w:val="16"/>
              </w:rPr>
              <w:t xml:space="preserve"> se probó con validación cruzada de 5 pliegues y 58 corridas en la red real. Falta una jornada nueva: hasta tenerla </w:t>
            </w:r>
            <w:r>
              <w:rPr>
                <w:b/>
                <w:i w:val="0"/>
                <w:color w:val="131B2E"/>
                <w:sz w:val="16"/>
              </w:rPr>
              <w:t>no afirmamos</w:t>
            </w:r>
            <w:r>
              <w:rPr>
                <w:b w:val="0"/>
                <w:i w:val="0"/>
                <w:color w:val="131B2E"/>
                <w:sz w:val="16"/>
              </w:rPr>
              <w:t xml:space="preserve"> que funcione en otra red.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Parcial</w:t>
            </w:r>
          </w:p>
        </w:tc>
      </w:tr>
      <w:tr>
        <w:tc>
          <w:tcPr>
            <w:tcW w:type="dxa" w:w="2268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Confiabilidad</w:t>
            </w:r>
            <w:r>
              <w:rPr>
                <w:b w:val="0"/>
                <w:i w:val="0"/>
                <w:color w:val="131B2E"/>
                <w:sz w:val="16"/>
              </w:rPr>
              <w:br/>
            </w:r>
            <w:r>
              <w:rPr>
                <w:b w:val="0"/>
                <w:i/>
                <w:color w:val="131B2E"/>
                <w:sz w:val="16"/>
              </w:rPr>
              <w:t>Si repetimos la medición, ¿da lo mismo?</w:t>
            </w:r>
          </w:p>
        </w:tc>
        <w:tc>
          <w:tcPr>
            <w:tcW w:type="dxa" w:w="5216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Nuestro sistema es determinista</w:t>
            </w:r>
            <w:r>
              <w:rPr>
                <w:b w:val="0"/>
                <w:i w:val="0"/>
                <w:color w:val="131B2E"/>
                <w:sz w:val="16"/>
              </w:rPr>
              <w:t>: 10 ajustes repetidos dieron el mismo modelo y el mismo umbral. Dos pases completos de validación dieron resultados equivalentes.</w:t>
            </w:r>
          </w:p>
        </w:tc>
        <w:tc>
          <w:tcPr>
            <w:tcW w:type="dxa" w:w="238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Abordada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Validez de constructo</w:t>
            </w:r>
            <w:r>
              <w:rPr>
                <w:b w:val="0"/>
                <w:i w:val="0"/>
                <w:color w:val="131B2E"/>
                <w:sz w:val="16"/>
              </w:rPr>
              <w:br/>
            </w:r>
            <w:r>
              <w:rPr>
                <w:b w:val="0"/>
                <w:i/>
                <w:color w:val="131B2E"/>
                <w:sz w:val="16"/>
              </w:rPr>
              <w:t>Lo que medimos, ¿mide lo que decimos?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Nuestras 28 variables</w:t>
            </w:r>
            <w:r>
              <w:rPr>
                <w:b w:val="0"/>
                <w:i w:val="0"/>
                <w:color w:val="131B2E"/>
                <w:sz w:val="16"/>
              </w:rPr>
              <w:t xml:space="preserve"> están definidas una por una con su fórmula, ventana y fuente, generadas desde el código que corre. Ninguna se describe de memoria.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Abordada</w:t>
            </w:r>
          </w:p>
        </w:tc>
      </w:tr>
      <w:tr>
        <w:tc>
          <w:tcPr>
            <w:tcW w:type="dxa" w:w="2268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α de Cronbach / Kappa</w:t>
            </w:r>
            <w:r>
              <w:rPr>
                <w:b w:val="0"/>
                <w:i w:val="0"/>
                <w:color w:val="131B2E"/>
                <w:sz w:val="16"/>
              </w:rPr>
              <w:br/>
            </w:r>
            <w:r>
              <w:rPr>
                <w:b w:val="0"/>
                <w:i/>
                <w:color w:val="131B2E"/>
                <w:sz w:val="16"/>
              </w:rPr>
              <w:t>¿Por qué no las usamos?</w:t>
            </w:r>
          </w:p>
        </w:tc>
        <w:tc>
          <w:tcPr>
            <w:tcW w:type="dxa" w:w="5216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Nuestro producto no es un cuestionario</w:t>
            </w:r>
            <w:r>
              <w:rPr>
                <w:b w:val="0"/>
                <w:i w:val="0"/>
                <w:color w:val="131B2E"/>
                <w:sz w:val="16"/>
              </w:rPr>
              <w:t xml:space="preserve"> ni tiene jueces clasificando, así que ninguna de las dos aplica. El Alfa se calculará sobre el SUS, que sí tiene 10 ítems.</w:t>
            </w:r>
          </w:p>
        </w:tc>
        <w:tc>
          <w:tcPr>
            <w:tcW w:type="dxa" w:w="238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Justificado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b/>
          <w:i w:val="0"/>
          <w:color w:val="131B2E"/>
          <w:sz w:val="17"/>
        </w:rPr>
        <w:t>ISO/IEC 25010 — características evaluadas con evidencia:</w:t>
      </w:r>
      <w:r>
        <w:rPr>
          <w:b w:val="0"/>
          <w:i w:val="0"/>
          <w:color w:val="131B2E"/>
          <w:sz w:val="17"/>
        </w:rPr>
        <w:t xml:space="preserve"> </w:t>
      </w:r>
      <w:r>
        <w:rPr>
          <w:b w:val="0"/>
          <w:i/>
          <w:color w:val="131B2E"/>
          <w:sz w:val="17"/>
        </w:rPr>
        <w:t>adecuación funcional</w:t>
      </w:r>
      <w:r>
        <w:rPr>
          <w:b w:val="0"/>
          <w:i w:val="0"/>
          <w:color w:val="131B2E"/>
          <w:sz w:val="17"/>
        </w:rPr>
        <w:t xml:space="preserve"> (detecta y bloquea, 88,8 % de detección), </w:t>
      </w:r>
      <w:r>
        <w:rPr>
          <w:b w:val="0"/>
          <w:i/>
          <w:color w:val="131B2E"/>
          <w:sz w:val="17"/>
        </w:rPr>
        <w:t>eficiencia de desempeño</w:t>
      </w:r>
      <w:r>
        <w:rPr>
          <w:b w:val="0"/>
          <w:i w:val="0"/>
          <w:color w:val="131B2E"/>
          <w:sz w:val="17"/>
        </w:rPr>
        <w:t xml:space="preserve"> (bloqueo en mediana de 8,0 s), </w:t>
      </w:r>
      <w:r>
        <w:rPr>
          <w:b w:val="0"/>
          <w:i/>
          <w:color w:val="131B2E"/>
          <w:sz w:val="17"/>
        </w:rPr>
        <w:t>confiabilidad</w:t>
      </w:r>
      <w:r>
        <w:rPr>
          <w:b w:val="0"/>
          <w:i w:val="0"/>
          <w:color w:val="131B2E"/>
          <w:sz w:val="17"/>
        </w:rPr>
        <w:t xml:space="preserve"> (cero caídas en 58 corridas, determinismo verificado) y </w:t>
      </w:r>
      <w:r>
        <w:rPr>
          <w:b w:val="0"/>
          <w:i/>
          <w:color w:val="131B2E"/>
          <w:sz w:val="17"/>
        </w:rPr>
        <w:t>seguridad</w:t>
      </w:r>
      <w:r>
        <w:rPr>
          <w:b w:val="0"/>
          <w:i w:val="0"/>
          <w:color w:val="131B2E"/>
          <w:sz w:val="17"/>
        </w:rPr>
        <w:t xml:space="preserve"> (trazabilidad por SHA-256). </w:t>
      </w:r>
      <w:r>
        <w:rPr>
          <w:b/>
          <w:i w:val="0"/>
          <w:color w:val="131B2E"/>
          <w:sz w:val="17"/>
        </w:rPr>
        <w:t>Sin evidencia todavía</w:t>
      </w:r>
      <w:r>
        <w:rPr>
          <w:b w:val="0"/>
          <w:i w:val="0"/>
          <w:color w:val="131B2E"/>
          <w:sz w:val="17"/>
        </w:rPr>
        <w:t xml:space="preserve">: </w:t>
      </w:r>
      <w:r>
        <w:rPr>
          <w:b w:val="0"/>
          <w:i/>
          <w:color w:val="131B2E"/>
          <w:sz w:val="17"/>
        </w:rPr>
        <w:t>usabilidad</w:t>
      </w:r>
      <w:r>
        <w:rPr>
          <w:b w:val="0"/>
          <w:i w:val="0"/>
          <w:color w:val="131B2E"/>
          <w:sz w:val="17"/>
        </w:rPr>
        <w:t xml:space="preserve"> —el SUS está pendiente—, </w:t>
      </w:r>
      <w:r>
        <w:rPr>
          <w:b w:val="0"/>
          <w:i/>
          <w:color w:val="131B2E"/>
          <w:sz w:val="17"/>
        </w:rPr>
        <w:t>compatibilidad</w:t>
      </w:r>
      <w:r>
        <w:rPr>
          <w:b w:val="0"/>
          <w:i w:val="0"/>
          <w:color w:val="131B2E"/>
          <w:sz w:val="17"/>
        </w:rPr>
        <w:t xml:space="preserve">, </w:t>
      </w:r>
      <w:r>
        <w:rPr>
          <w:b w:val="0"/>
          <w:i/>
          <w:color w:val="131B2E"/>
          <w:sz w:val="17"/>
        </w:rPr>
        <w:t>mantenibilidad</w:t>
      </w:r>
      <w:r>
        <w:rPr>
          <w:b w:val="0"/>
          <w:i w:val="0"/>
          <w:color w:val="131B2E"/>
          <w:sz w:val="17"/>
        </w:rPr>
        <w:t xml:space="preserve"> y </w:t>
      </w:r>
      <w:r>
        <w:rPr>
          <w:b w:val="0"/>
          <w:i/>
          <w:color w:val="131B2E"/>
          <w:sz w:val="17"/>
        </w:rPr>
        <w:t>portabilidad</w:t>
      </w:r>
      <w:r>
        <w:rPr>
          <w:b w:val="0"/>
          <w:i w:val="0"/>
          <w:color w:val="131B2E"/>
          <w:sz w:val="17"/>
        </w:rPr>
        <w:t>.</w:t>
      </w:r>
    </w:p>
    <w:p>
      <w:pPr>
        <w:spacing w:after="100"/>
        <w:jc w:val="both"/>
      </w:pPr>
      <w:r>
        <w:rPr>
          <w:b/>
          <w:i w:val="0"/>
          <w:color w:val="131B2E"/>
          <w:sz w:val="17"/>
        </w:rPr>
        <w:t>Ya resuelto en agosto</w:t>
      </w:r>
      <w:r>
        <w:rPr>
          <w:b w:val="0"/>
          <w:i w:val="0"/>
          <w:color w:val="131B2E"/>
          <w:sz w:val="17"/>
        </w:rPr>
        <w:t>, sin capturar datos nuevos ni reentrenar: intervalos de Wilson en toda proporción y McNemar con corrección de Holm; ablación por capas y comparación de 14 contra 28 variables; diccionario de las 28 variables; dataset, manifiesto y 7 modelos publicados con sus checksums; datasheet, model card y system card; declaración de la selección posterior; validación cruzada y bootstrap.</w:t>
      </w:r>
    </w:p>
    <w:p>
      <w:pPr>
        <w:spacing w:after="100"/>
        <w:jc w:val="both"/>
      </w:pPr>
      <w:r>
        <w:rPr>
          <w:b/>
          <w:i w:val="0"/>
          <w:color w:val="131B2E"/>
          <w:sz w:val="18"/>
        </w:rPr>
        <w:t>Resultados medidos: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49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Resultado medido</w:t>
            </w:r>
          </w:p>
        </w:tc>
        <w:tc>
          <w:tcPr>
            <w:tcW w:type="dxa" w:w="306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Valor obtenido</w:t>
            </w:r>
          </w:p>
        </w:tc>
        <w:tc>
          <w:tcPr>
            <w:tcW w:type="dxa" w:w="430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Cómo se verificó</w:t>
            </w:r>
          </w:p>
        </w:tc>
      </w:tr>
      <w:tr>
        <w:tc>
          <w:tcPr>
            <w:tcW w:type="dxa" w:w="2494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Capacidad discriminante</w:t>
            </w:r>
          </w:p>
        </w:tc>
        <w:tc>
          <w:tcPr>
            <w:tcW w:type="dxa" w:w="3061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ROC-AUC 0,974</w:t>
            </w:r>
          </w:p>
        </w:tc>
        <w:tc>
          <w:tcPr>
            <w:tcW w:type="dxa" w:w="4309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Re-puntuando el modelo congelado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Detección de ataques genuinos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88,8 %</w:t>
            </w:r>
            <w:r>
              <w:rPr>
                <w:b w:val="0"/>
                <w:i w:val="0"/>
                <w:color w:val="131B2E"/>
                <w:sz w:val="16"/>
              </w:rPr>
              <w:t xml:space="preserve"> [83,0 – 92,8]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Evaluación bloqueada de un solo paso, con intervalo de Wilson</w:t>
            </w:r>
          </w:p>
        </w:tc>
      </w:tr>
      <w:tr>
        <w:tc>
          <w:tcPr>
            <w:tcW w:type="dxa" w:w="2494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Respuesta en tiempo real</w:t>
            </w:r>
          </w:p>
        </w:tc>
        <w:tc>
          <w:tcPr>
            <w:tcW w:type="dxa" w:w="30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Bloqueo en mediana de </w:t>
            </w:r>
            <w:r>
              <w:rPr>
                <w:b/>
                <w:i w:val="0"/>
                <w:color w:val="131B2E"/>
                <w:sz w:val="16"/>
              </w:rPr>
              <w:t>8,0 s</w:t>
            </w:r>
            <w:r>
              <w:rPr>
                <w:b w:val="0"/>
                <w:i w:val="0"/>
                <w:color w:val="131B2E"/>
                <w:sz w:val="16"/>
              </w:rPr>
              <w:t>; rango 6,1–13,7 s (n = 8)</w:t>
            </w:r>
          </w:p>
        </w:tc>
        <w:tc>
          <w:tcPr>
            <w:tcW w:type="dxa" w:w="4309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58 corridas con el motor activo; 8 bloqueos con tiempo observable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Disponibilidad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Cero caídas registradas</w:t>
            </w:r>
            <w:r>
              <w:rPr>
                <w:b w:val="0"/>
                <w:i w:val="0"/>
                <w:color w:val="131B2E"/>
                <w:sz w:val="16"/>
              </w:rPr>
              <w:t>; 55 de 58 corridas con verificación explícita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Registro de servicios antes y después de cada corrida</w:t>
            </w:r>
          </w:p>
        </w:tc>
      </w:tr>
      <w:tr>
        <w:tc>
          <w:tcPr>
            <w:tcW w:type="dxa" w:w="2494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Aporte de las variables multicapa</w:t>
            </w:r>
          </w:p>
        </w:tc>
        <w:tc>
          <w:tcPr>
            <w:tcW w:type="dxa" w:w="30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De </w:t>
            </w:r>
            <w:r>
              <w:rPr>
                <w:b/>
                <w:i w:val="0"/>
                <w:color w:val="131B2E"/>
                <w:sz w:val="16"/>
              </w:rPr>
              <w:t>66,5 % a 88,8 %</w:t>
            </w:r>
            <w:r>
              <w:rPr>
                <w:b w:val="0"/>
                <w:i w:val="0"/>
                <w:color w:val="131B2E"/>
                <w:sz w:val="16"/>
              </w:rPr>
              <w:t xml:space="preserve"> de detección, p &lt; 0,001</w:t>
            </w:r>
          </w:p>
        </w:tc>
        <w:tc>
          <w:tcPr>
            <w:tcW w:type="dxa" w:w="4309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Ablación por capas con McNemar exacto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Superioridad del modelo elegido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Las </w:t>
            </w:r>
            <w:r>
              <w:rPr>
                <w:b/>
                <w:i w:val="0"/>
                <w:color w:val="131B2E"/>
                <w:sz w:val="16"/>
              </w:rPr>
              <w:t>6 comparaciones</w:t>
            </w:r>
            <w:r>
              <w:rPr>
                <w:b w:val="0"/>
                <w:i w:val="0"/>
                <w:color w:val="131B2E"/>
                <w:sz w:val="16"/>
              </w:rPr>
              <w:t xml:space="preserve"> del OCSVM son significativas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McNemar + corrección de Holm sobre 21 pares</w:t>
            </w:r>
          </w:p>
        </w:tc>
      </w:tr>
      <w:tr>
        <w:tc>
          <w:tcPr>
            <w:tcW w:type="dxa" w:w="2494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Reproducibilidad</w:t>
            </w:r>
          </w:p>
        </w:tc>
        <w:tc>
          <w:tcPr>
            <w:tcW w:type="dxa" w:w="30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Dataset, manifiesto y </w:t>
            </w:r>
            <w:r>
              <w:rPr>
                <w:b/>
                <w:i w:val="0"/>
                <w:color w:val="131B2E"/>
                <w:sz w:val="16"/>
              </w:rPr>
              <w:t>los 7 modelos</w:t>
            </w:r>
            <w:r>
              <w:rPr>
                <w:b w:val="0"/>
                <w:i w:val="0"/>
                <w:color w:val="131B2E"/>
                <w:sz w:val="16"/>
              </w:rPr>
              <w:t xml:space="preserve"> publicados y verificables. </w:t>
            </w:r>
            <w:r>
              <w:rPr>
                <w:b/>
                <w:i w:val="0"/>
                <w:color w:val="131B2E"/>
                <w:sz w:val="16"/>
              </w:rPr>
              <w:t>No es replicabilidad</w:t>
            </w:r>
            <w:r>
              <w:rPr>
                <w:b w:val="0"/>
                <w:i w:val="0"/>
                <w:color w:val="131B2E"/>
                <w:sz w:val="16"/>
              </w:rPr>
              <w:t>: eso exige datos nuevos y es P-2/P-4</w:t>
            </w:r>
          </w:p>
        </w:tc>
        <w:tc>
          <w:tcPr>
            <w:tcW w:type="dxa" w:w="4309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sha256sum -c · licencias MIT y CC BY 4.0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b/>
          <w:color w:val="1F4E79"/>
          <w:sz w:val="25"/>
        </w:rPr>
        <w:t>2 ·  Lo que NO está listo</w:t>
      </w:r>
    </w:p>
    <w:p>
      <w:pPr>
        <w:spacing w:after="100"/>
        <w:jc w:val="both"/>
      </w:pPr>
      <w:r>
        <w:rPr>
          <w:b w:val="0"/>
          <w:i w:val="0"/>
          <w:color w:val="131B2E"/>
          <w:sz w:val="18"/>
        </w:rPr>
        <w:t xml:space="preserve">Solo lo que sigue abierto hoy. </w:t>
      </w:r>
      <w:r>
        <w:rPr>
          <w:b/>
          <w:i w:val="0"/>
          <w:color w:val="131B2E"/>
          <w:sz w:val="18"/>
        </w:rPr>
        <w:t>Lo ya resuelto está en la sección 1 y no se repite aquí.</w:t>
      </w:r>
      <w:r>
        <w:rPr>
          <w:b w:val="0"/>
          <w:i w:val="0"/>
          <w:color w:val="131B2E"/>
          <w:sz w:val="18"/>
        </w:rPr>
        <w:t xml:space="preserve"> Las cinco están medidas, no supuestas.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85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Qué falta</w:t>
            </w:r>
          </w:p>
        </w:tc>
        <w:tc>
          <w:tcPr>
            <w:tcW w:type="dxa" w:w="476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Evidencia de que falta</w:t>
            </w:r>
          </w:p>
        </w:tc>
        <w:tc>
          <w:tcPr>
            <w:tcW w:type="dxa" w:w="119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Gravedad</w:t>
            </w:r>
          </w:p>
        </w:tc>
      </w:tr>
      <w:tr>
        <w:tc>
          <w:tcPr>
            <w:tcW w:type="dxa" w:w="850"/>
            <w:shd w:val="clear" w:fill="FBE3E1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P-1</w:t>
            </w:r>
          </w:p>
        </w:tc>
        <w:tc>
          <w:tcPr>
            <w:tcW w:type="dxa" w:w="2608"/>
            <w:shd w:val="clear" w:fill="FBE3E1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El sistema bloquea tráfico legítimo pesado</w:t>
            </w:r>
          </w:p>
        </w:tc>
        <w:tc>
          <w:tcPr>
            <w:tcW w:type="dxa" w:w="4762"/>
            <w:shd w:val="clear" w:fill="FBE3E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En laboratorio se equivoca el 4,71 % de las veces; en operación, 25,81 % y 22,97 %. Una transferencia legítima de 200 Mbit/s bloqueó a un cliente real durante 120 s</w:t>
            </w:r>
          </w:p>
        </w:tc>
        <w:tc>
          <w:tcPr>
            <w:tcW w:type="dxa" w:w="1191"/>
            <w:shd w:val="clear" w:fill="FBE3E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Crítica</w:t>
            </w:r>
          </w:p>
        </w:tc>
      </w:tr>
      <w:tr>
        <w:tc>
          <w:tcPr>
            <w:tcW w:type="dxa" w:w="850"/>
            <w:shd w:val="clear" w:fill="FBE3E1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P-2</w:t>
            </w:r>
          </w:p>
        </w:tc>
        <w:tc>
          <w:tcPr>
            <w:tcW w:type="dxa" w:w="2608"/>
            <w:shd w:val="clear" w:fill="FBE3E1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El modelo se eligió mirando el examen final</w:t>
            </w:r>
            <w:r>
              <w:rPr>
                <w:b w:val="0"/>
                <w:i w:val="0"/>
                <w:color w:val="131B2E"/>
                <w:sz w:val="16"/>
              </w:rPr>
              <w:t xml:space="preserve"> </w:t>
            </w:r>
            <w:r>
              <w:rPr>
                <w:b w:val="0"/>
                <w:i/>
                <w:color w:val="131B2E"/>
                <w:sz w:val="16"/>
              </w:rPr>
              <w:t>(replicabilidad)</w:t>
            </w:r>
          </w:p>
        </w:tc>
        <w:tc>
          <w:tcPr>
            <w:tcW w:type="dxa" w:w="4762"/>
            <w:shd w:val="clear" w:fill="FBE3E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Se compararon 7 candidatos sobre el mismo conjunto de prueba y se escogió el mejor. El 88,8 % es un máximo, no una estimación limpia</w:t>
            </w:r>
          </w:p>
        </w:tc>
        <w:tc>
          <w:tcPr>
            <w:tcW w:type="dxa" w:w="1191"/>
            <w:shd w:val="clear" w:fill="FBE3E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Crítica</w:t>
            </w:r>
          </w:p>
        </w:tc>
      </w:tr>
      <w:tr>
        <w:tc>
          <w:tcPr>
            <w:tcW w:type="dxa" w:w="850"/>
            <w:shd w:val="clear" w:fill="FDECD2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P-3</w:t>
            </w:r>
          </w:p>
        </w:tc>
        <w:tc>
          <w:tcPr>
            <w:tcW w:type="dxa" w:w="2608"/>
            <w:shd w:val="clear" w:fill="FDECD2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Nadie ha usado el panel salvo el equipo</w:t>
            </w:r>
            <w:r>
              <w:rPr>
                <w:b w:val="0"/>
                <w:i w:val="0"/>
                <w:color w:val="131B2E"/>
                <w:sz w:val="16"/>
              </w:rPr>
              <w:t xml:space="preserve"> </w:t>
            </w:r>
            <w:r>
              <w:rPr>
                <w:b w:val="0"/>
                <w:i/>
                <w:color w:val="131B2E"/>
                <w:sz w:val="16"/>
              </w:rPr>
              <w:t>(pertinencia)</w:t>
            </w:r>
          </w:p>
        </w:tc>
        <w:tc>
          <w:tcPr>
            <w:tcW w:type="dxa" w:w="4762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El instrumento SUS está preparado, pero el archivo de respuestas tiene 0 filas: no se ha aplicado</w:t>
            </w:r>
          </w:p>
        </w:tc>
        <w:tc>
          <w:tcPr>
            <w:tcW w:type="dxa" w:w="1191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Alta</w:t>
            </w:r>
          </w:p>
        </w:tc>
      </w:tr>
      <w:tr>
        <w:tc>
          <w:tcPr>
            <w:tcW w:type="dxa" w:w="850"/>
            <w:shd w:val="clear" w:fill="FDECD2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P-4</w:t>
            </w:r>
          </w:p>
        </w:tc>
        <w:tc>
          <w:tcPr>
            <w:tcW w:type="dxa" w:w="2608"/>
            <w:shd w:val="clear" w:fill="FDECD2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No se sabe si funciona en otra jornada</w:t>
            </w:r>
            <w:r>
              <w:rPr>
                <w:b w:val="0"/>
                <w:i w:val="0"/>
                <w:color w:val="131B2E"/>
                <w:sz w:val="16"/>
              </w:rPr>
              <w:t xml:space="preserve"> </w:t>
            </w:r>
            <w:r>
              <w:rPr>
                <w:b w:val="0"/>
                <w:i/>
                <w:color w:val="131B2E"/>
                <w:sz w:val="16"/>
              </w:rPr>
              <w:t>(replicabilidad)</w:t>
            </w:r>
          </w:p>
        </w:tc>
        <w:tc>
          <w:tcPr>
            <w:tcW w:type="dxa" w:w="4762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Los 44 perfiles aparecen en las tres particiones. Falta una captura nueva que el modelo no haya visto</w:t>
            </w:r>
          </w:p>
        </w:tc>
        <w:tc>
          <w:tcPr>
            <w:tcW w:type="dxa" w:w="1191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Alta</w:t>
            </w:r>
          </w:p>
        </w:tc>
      </w:tr>
      <w:tr>
        <w:tc>
          <w:tcPr>
            <w:tcW w:type="dxa" w:w="850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P-5</w:t>
            </w:r>
          </w:p>
        </w:tc>
        <w:tc>
          <w:tcPr>
            <w:tcW w:type="dxa" w:w="2608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Faltan 4 escenarios legítimos del jurado</w:t>
            </w:r>
          </w:p>
        </w:tc>
        <w:tc>
          <w:tcPr>
            <w:tcW w:type="dxa" w:w="4762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SSH, SCP/SFTP, backup y actualizaciones no están en el dataset</w:t>
            </w:r>
          </w:p>
        </w:tc>
        <w:tc>
          <w:tcPr>
            <w:tcW w:type="dxa" w:w="119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Media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b/>
          <w:color w:val="1F4E79"/>
          <w:sz w:val="25"/>
        </w:rPr>
        <w:t>3 ·  Cómo se va a abordar</w:t>
      </w:r>
    </w:p>
    <w:p>
      <w:pPr>
        <w:spacing w:after="100"/>
        <w:jc w:val="both"/>
      </w:pPr>
      <w:r>
        <w:rPr>
          <w:b w:val="0"/>
          <w:i w:val="0"/>
          <w:color w:val="131B2E"/>
          <w:sz w:val="18"/>
        </w:rPr>
        <w:t xml:space="preserve">Una acción por cada pendiente de la sección 2, con el mismo identificador. Todas caben en el laboratorio actual: </w:t>
      </w:r>
      <w:r>
        <w:rPr>
          <w:b/>
          <w:i w:val="0"/>
          <w:color w:val="131B2E"/>
          <w:sz w:val="18"/>
        </w:rPr>
        <w:t>ninguna exige equipo ni presupuesto nuevo</w:t>
      </w:r>
      <w:r>
        <w:rPr>
          <w:b w:val="0"/>
          <w:i w:val="0"/>
          <w:color w:val="131B2E"/>
          <w:sz w:val="18"/>
        </w:rPr>
        <w:t xml:space="preserve">. </w:t>
      </w:r>
      <w:r>
        <w:rPr>
          <w:b/>
          <w:i w:val="0"/>
          <w:color w:val="131B2E"/>
          <w:sz w:val="18"/>
        </w:rPr>
        <w:t>P-2 y P-4 se resuelven con la misma campaña.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85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408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Qué se hará</w:t>
            </w:r>
          </w:p>
        </w:tc>
        <w:tc>
          <w:tcPr>
            <w:tcW w:type="dxa" w:w="306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¿Lo resuelve del todo?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Cuándo</w:t>
            </w:r>
          </w:p>
        </w:tc>
      </w:tr>
      <w:tr>
        <w:tc>
          <w:tcPr>
            <w:tcW w:type="dxa" w:w="850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P-1</w:t>
            </w:r>
          </w:p>
        </w:tc>
        <w:tc>
          <w:tcPr>
            <w:tcW w:type="dxa" w:w="4082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Reentrenar incluyendo la transferencia de 200 Mbit/s como tráfico </w:t>
            </w:r>
            <w:r>
              <w:rPr>
                <w:b/>
                <w:i w:val="0"/>
                <w:color w:val="131B2E"/>
                <w:sz w:val="16"/>
              </w:rPr>
              <w:t>normal</w:t>
            </w:r>
            <w:r>
              <w:rPr>
                <w:b w:val="0"/>
                <w:i w:val="0"/>
                <w:color w:val="131B2E"/>
                <w:sz w:val="16"/>
              </w:rPr>
              <w:t xml:space="preserve"> y repetir las 29 corridas de validación</w:t>
            </w:r>
          </w:p>
        </w:tc>
        <w:tc>
          <w:tcPr>
            <w:tcW w:type="dxa" w:w="30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Sí, si el error baja. Si no baja, queda declarado como límite del sistema</w:t>
            </w:r>
          </w:p>
        </w:tc>
        <w:tc>
          <w:tcPr>
            <w:tcW w:type="dxa" w:w="1134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10 oct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P-2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Recolectar una </w:t>
            </w:r>
            <w:r>
              <w:rPr>
                <w:b/>
                <w:i w:val="0"/>
                <w:color w:val="131B2E"/>
                <w:sz w:val="16"/>
              </w:rPr>
              <w:t>jornada nueva</w:t>
            </w:r>
            <w:r>
              <w:rPr>
                <w:b w:val="0"/>
                <w:i w:val="0"/>
                <w:color w:val="131B2E"/>
                <w:sz w:val="16"/>
              </w:rPr>
              <w:t xml:space="preserve"> que el modelo no vea nunca, y medir sobre ella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Sí. Es la única corrección real: no se arregla escribiendo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24 oct</w:t>
            </w:r>
          </w:p>
        </w:tc>
      </w:tr>
      <w:tr>
        <w:tc>
          <w:tcPr>
            <w:tcW w:type="dxa" w:w="850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P-3</w:t>
            </w:r>
          </w:p>
        </w:tc>
        <w:tc>
          <w:tcPr>
            <w:tcW w:type="dxa" w:w="4082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Sesión de 2 h con 5–8 evaluadores usando el instrumento SUS ya preparado</w:t>
            </w:r>
          </w:p>
        </w:tc>
        <w:tc>
          <w:tcPr>
            <w:tcW w:type="dxa" w:w="30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Sí</w:t>
            </w:r>
          </w:p>
        </w:tc>
        <w:tc>
          <w:tcPr>
            <w:tcW w:type="dxa" w:w="1134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9 sep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P-4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La misma jornada nueva de P-2</w:t>
            </w:r>
            <w:r>
              <w:rPr>
                <w:b w:val="0"/>
                <w:i w:val="0"/>
                <w:color w:val="131B2E"/>
                <w:sz w:val="16"/>
              </w:rPr>
              <w:t xml:space="preserve"> sirve para las dos cosas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Sí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24 oct</w:t>
            </w:r>
          </w:p>
        </w:tc>
      </w:tr>
      <w:tr>
        <w:tc>
          <w:tcPr>
            <w:tcW w:type="dxa" w:w="850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P-5</w:t>
            </w:r>
          </w:p>
        </w:tc>
        <w:tc>
          <w:tcPr>
            <w:tcW w:type="dxa" w:w="4082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Una campaña F1 más: SSH, SCP/SFTP, backup y actualizaciones</w:t>
            </w:r>
          </w:p>
        </w:tc>
        <w:tc>
          <w:tcPr>
            <w:tcW w:type="dxa" w:w="30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Sí</w:t>
            </w:r>
          </w:p>
        </w:tc>
        <w:tc>
          <w:tcPr>
            <w:tcW w:type="dxa" w:w="1134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19 sep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b/>
          <w:color w:val="1F4E79"/>
          <w:sz w:val="25"/>
        </w:rPr>
        <w:t>4 ·  En qué tiempo: cronograma comprometido</w:t>
      </w:r>
    </w:p>
    <w:p>
      <w:pPr>
        <w:spacing w:after="100"/>
        <w:jc w:val="both"/>
      </w:pPr>
      <w:r>
        <w:rPr>
          <w:b w:val="0"/>
          <w:i/>
          <w:color w:val="131B2E"/>
          <w:sz w:val="18"/>
        </w:rPr>
        <w:t>Propuesta del equipo del 2 de septiembre de 2026, pendiente del visto bueno de los asesores.</w:t>
      </w:r>
      <w:r>
        <w:rPr>
          <w:b w:val="0"/>
          <w:i w:val="0"/>
          <w:color w:val="131B2E"/>
          <w:sz w:val="18"/>
        </w:rPr>
        <w:t xml:space="preserve"> </w:t>
      </w:r>
      <w:r>
        <w:rPr>
          <w:b/>
          <w:i w:val="0"/>
          <w:color w:val="131B2E"/>
          <w:sz w:val="18"/>
        </w:rPr>
        <w:t>La fecha que ordena todo es el 30 de septiembre:</w:t>
      </w:r>
      <w:r>
        <w:rPr>
          <w:b w:val="0"/>
          <w:i w:val="0"/>
          <w:color w:val="131B2E"/>
          <w:sz w:val="18"/>
        </w:rPr>
        <w:t xml:space="preserve"> IJIES sube su APC de USD 300 a 400 el 1 de octubre y lo paga la universidad. Un envío el 28 de septiembre proyecta primera decisión hacia el 8 de noviembre.</w:t>
      </w:r>
    </w:p>
    <w:p>
      <w:pPr>
        <w:spacing w:after="100"/>
        <w:jc w:val="both"/>
      </w:pPr>
      <w:r>
        <w:rPr>
          <w:b/>
          <w:i/>
          <w:color w:val="5B6B8C"/>
          <w:sz w:val="17"/>
        </w:rPr>
        <w:t>Dos riesgos declarados.</w:t>
      </w:r>
      <w:r>
        <w:rPr>
          <w:b w:val="0"/>
          <w:i/>
          <w:color w:val="5B6B8C"/>
          <w:sz w:val="17"/>
        </w:rPr>
        <w:t xml:space="preserve"> El envío deja </w:t>
      </w:r>
      <w:r>
        <w:rPr>
          <w:b/>
          <w:i/>
          <w:color w:val="5B6B8C"/>
          <w:sz w:val="17"/>
        </w:rPr>
        <w:t>3 días de margen</w:t>
      </w:r>
      <w:r>
        <w:rPr>
          <w:b w:val="0"/>
          <w:i/>
          <w:color w:val="5B6B8C"/>
          <w:sz w:val="17"/>
        </w:rPr>
        <w:t xml:space="preserve"> antes de que suba el APC. Y </w:t>
      </w:r>
      <w:r>
        <w:rPr>
          <w:b/>
          <w:i/>
          <w:color w:val="5B6B8C"/>
          <w:sz w:val="17"/>
        </w:rPr>
        <w:t>P-1 y P-2 se cierran después del envío</w:t>
      </w:r>
      <w:r>
        <w:rPr>
          <w:b w:val="0"/>
          <w:i/>
          <w:color w:val="5B6B8C"/>
          <w:sz w:val="17"/>
        </w:rPr>
        <w:t>, con el artículo ya en revisión: es deliberado, porque el artículo se escribe con el resultado ya bloqueado.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64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07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36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Qué se hace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644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vie 4 sep 2026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P-2</w:t>
            </w:r>
          </w:p>
        </w:tc>
        <w:tc>
          <w:tcPr>
            <w:tcW w:type="dxa" w:w="362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Declarar la selección posterior en el documento de tesis (mitiga; la corrección real es el 24 de octubre)</w:t>
            </w:r>
          </w:p>
        </w:tc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Salazar</w:t>
            </w:r>
          </w:p>
        </w:tc>
        <w:tc>
          <w:tcPr>
            <w:tcW w:type="dxa" w:w="1304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PLANIFICADA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mié 9 sep 2026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P-3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Sesión SUS</w:t>
            </w:r>
            <w:r>
              <w:rPr>
                <w:b w:val="0"/>
                <w:i w:val="0"/>
                <w:color w:val="131B2E"/>
                <w:sz w:val="16"/>
              </w:rPr>
              <w:t xml:space="preserve"> de 2 h con 5–8 evaluadores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Salazar · Sauñe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PLANIFICADA</w:t>
            </w:r>
          </w:p>
        </w:tc>
      </w:tr>
      <w:tr>
        <w:tc>
          <w:tcPr>
            <w:tcW w:type="dxa" w:w="1644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sáb 19 sep 2026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P-5</w:t>
            </w:r>
          </w:p>
        </w:tc>
        <w:tc>
          <w:tcPr>
            <w:tcW w:type="dxa" w:w="362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Campaña F1: SSH, SCP/SFTP, backup y actualizaciones</w:t>
            </w:r>
          </w:p>
        </w:tc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Sauñe</w:t>
            </w:r>
          </w:p>
        </w:tc>
        <w:tc>
          <w:tcPr>
            <w:tcW w:type="dxa" w:w="1304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PLANIFICADA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mié 23 sep 2026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+P-3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Juicio experto con 3 evaluadores. </w:t>
            </w:r>
            <w:r>
              <w:rPr>
                <w:b/>
                <w:i w:val="0"/>
                <w:color w:val="131B2E"/>
                <w:sz w:val="16"/>
              </w:rPr>
              <w:t>Refuerza P-3, no lo cierra</w:t>
            </w:r>
            <w:r>
              <w:rPr>
                <w:b w:val="0"/>
                <w:i w:val="0"/>
                <w:color w:val="131B2E"/>
                <w:sz w:val="16"/>
              </w:rPr>
              <w:t>: lo cierra el SUS del 9 de septiembre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Salazar · asesores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PLANIFICADA</w:t>
            </w:r>
          </w:p>
        </w:tc>
      </w:tr>
      <w:tr>
        <w:tc>
          <w:tcPr>
            <w:tcW w:type="dxa" w:w="1644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lun 28 sep 2026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—</w:t>
            </w:r>
          </w:p>
        </w:tc>
        <w:tc>
          <w:tcPr>
            <w:tcW w:type="dxa" w:w="3628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Envío del artículo a IJIES.</w:t>
            </w:r>
            <w:r>
              <w:rPr>
                <w:b w:val="0"/>
                <w:i w:val="0"/>
                <w:color w:val="131B2E"/>
                <w:sz w:val="16"/>
              </w:rPr>
              <w:t xml:space="preserve"> Hito, no un pendiente: el artículo no espera a P-1 ni a P-2</w:t>
            </w:r>
          </w:p>
        </w:tc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Salazar · Sauñe</w:t>
            </w:r>
          </w:p>
        </w:tc>
        <w:tc>
          <w:tcPr>
            <w:tcW w:type="dxa" w:w="1304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PLANIFICADA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sáb 10 oct 2026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P-1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Recalibrar</w:t>
            </w:r>
            <w:r>
              <w:rPr>
                <w:b w:val="0"/>
                <w:i w:val="0"/>
                <w:color w:val="131B2E"/>
                <w:sz w:val="16"/>
              </w:rPr>
              <w:t xml:space="preserve"> con tráfico pesado como normalidad y repetir las 29 corridas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Salazar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PLANIFICADA</w:t>
            </w:r>
          </w:p>
        </w:tc>
      </w:tr>
      <w:tr>
        <w:tc>
          <w:tcPr>
            <w:tcW w:type="dxa" w:w="1644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sáb 24 oct 2026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P-2 · P-4</w:t>
            </w:r>
          </w:p>
        </w:tc>
        <w:tc>
          <w:tcPr>
            <w:tcW w:type="dxa" w:w="3628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Jornada nueva</w:t>
            </w:r>
            <w:r>
              <w:rPr>
                <w:b w:val="0"/>
                <w:i w:val="0"/>
                <w:color w:val="131B2E"/>
                <w:sz w:val="16"/>
              </w:rPr>
              <w:t xml:space="preserve"> en fecha distinta, sin reutilizar episodios. Cierra los dos</w:t>
            </w:r>
          </w:p>
        </w:tc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Salazar · Sauñe</w:t>
            </w:r>
          </w:p>
        </w:tc>
        <w:tc>
          <w:tcPr>
            <w:tcW w:type="dxa" w:w="1304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PLANIFICADA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b/>
          <w:i/>
          <w:color w:val="131B2E"/>
          <w:sz w:val="18"/>
        </w:rPr>
        <w:t>El SUS va primero porque es el único cero absoluto que queda</w:t>
      </w:r>
      <w:r>
        <w:rPr>
          <w:b w:val="0"/>
          <w:i/>
          <w:color w:val="131B2E"/>
          <w:sz w:val="18"/>
        </w:rPr>
        <w:t xml:space="preserve">: cero en la ficha de auditoría, cero en el eje de pertinencia y </w:t>
      </w:r>
      <w:r>
        <w:rPr>
          <w:rFonts w:ascii="Consolas" w:hAnsi="Consolas"/>
          <w:b w:val="0"/>
          <w:i/>
          <w:color w:val="131B2E"/>
          <w:sz w:val="18"/>
        </w:rPr>
        <w:t>D-18</w:t>
      </w:r>
      <w:r>
        <w:rPr>
          <w:b w:val="0"/>
          <w:i/>
          <w:color w:val="131B2E"/>
          <w:sz w:val="18"/>
        </w:rPr>
        <w:t xml:space="preserve"> en el registro. Cuesta dos horas y sube la ficha de 82,4 % a 88,2 %. El juicio experto va después a propósito: los expertos juzgan mejor con los resultados de los usuarios delante.</w:t>
      </w:r>
    </w:p>
    <w:p>
      <w:pPr>
        <w:spacing w:after="100"/>
        <w:jc w:val="both"/>
      </w:pPr>
      <w:r>
        <w:rPr>
          <w:b/>
          <w:i/>
          <w:color w:val="131B2E"/>
          <w:sz w:val="18"/>
        </w:rPr>
        <w:t>El artículo no espera a P-1 ni a P-2.</w:t>
      </w:r>
      <w:r>
        <w:rPr>
          <w:b w:val="0"/>
          <w:i/>
          <w:color w:val="131B2E"/>
          <w:sz w:val="18"/>
        </w:rPr>
        <w:t xml:space="preserve"> La sección de resultados se escribe con lo que ya está bloqueado y no va a cambiar; si algo se retrasa, sale igual con la limitación declarada. </w:t>
      </w:r>
      <w:r>
        <w:rPr>
          <w:b/>
          <w:i/>
          <w:color w:val="131B2E"/>
          <w:sz w:val="18"/>
        </w:rPr>
        <w:t>Ningún pendiente condiciona la sustentación más allá del 24 de octubre.</w:t>
      </w:r>
    </w:p>
    <w:p>
      <w:pPr>
        <w:spacing w:before="220" w:after="80"/>
      </w:pPr>
      <w:r>
        <w:rPr>
          <w:b/>
          <w:color w:val="1F4E79"/>
          <w:sz w:val="25"/>
        </w:rPr>
        <w:t>5 ·  Amenazas a la validez (Threats to Validity)</w:t>
      </w:r>
    </w:p>
    <w:p>
      <w:pPr>
        <w:spacing w:after="100"/>
        <w:jc w:val="both"/>
      </w:pPr>
      <w:r>
        <w:rPr>
          <w:b w:val="0"/>
          <w:i w:val="0"/>
          <w:color w:val="131B2E"/>
          <w:sz w:val="17"/>
        </w:rPr>
        <w:t xml:space="preserve">La sesión advierte que esta sección es </w:t>
      </w:r>
      <w:r>
        <w:rPr>
          <w:b/>
          <w:i w:val="0"/>
          <w:color w:val="131B2E"/>
          <w:sz w:val="17"/>
        </w:rPr>
        <w:t>obligatoria en las revistas indexadas de Ingeniería de Software</w:t>
      </w:r>
      <w:r>
        <w:rPr>
          <w:b w:val="0"/>
          <w:i w:val="0"/>
          <w:color w:val="131B2E"/>
          <w:sz w:val="17"/>
        </w:rPr>
        <w:t>. Se declara aquí y se trasladará al artículo.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Tipo de amenaza</w:t>
            </w:r>
          </w:p>
        </w:tc>
        <w:tc>
          <w:tcPr>
            <w:tcW w:type="dxa" w:w="374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Amenaza concreta en este trabajo</w:t>
            </w:r>
          </w:p>
        </w:tc>
        <w:tc>
          <w:tcPr>
            <w:tcW w:type="dxa" w:w="419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Cómo se mitiga o declara</w:t>
            </w:r>
          </w:p>
        </w:tc>
      </w:tr>
      <w:tr>
        <w:tc>
          <w:tcPr>
            <w:tcW w:type="dxa" w:w="1928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Validez interna</w:t>
            </w:r>
          </w:p>
        </w:tc>
        <w:tc>
          <w:tcPr>
            <w:tcW w:type="dxa" w:w="3742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El modelo se eligió observando el conjunto de prueba: </w:t>
            </w:r>
            <w:r>
              <w:rPr>
                <w:b/>
                <w:i w:val="0"/>
                <w:color w:val="131B2E"/>
                <w:sz w:val="16"/>
              </w:rPr>
              <w:t>selección posterior</w:t>
            </w:r>
            <w:r>
              <w:rPr>
                <w:b w:val="0"/>
                <w:i w:val="0"/>
                <w:color w:val="131B2E"/>
                <w:sz w:val="16"/>
              </w:rPr>
              <w:t>, la misma familia de error que el HARKing</w:t>
            </w:r>
          </w:p>
        </w:tc>
        <w:tc>
          <w:tcPr>
            <w:tcW w:type="dxa" w:w="4195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Declarada en la </w:t>
            </w:r>
            <w:r>
              <w:rPr>
                <w:b w:val="0"/>
                <w:i/>
                <w:color w:val="131B2E"/>
                <w:sz w:val="16"/>
              </w:rPr>
              <w:t>model card</w:t>
            </w:r>
            <w:r>
              <w:rPr>
                <w:b w:val="0"/>
                <w:i w:val="0"/>
                <w:color w:val="131B2E"/>
                <w:sz w:val="16"/>
              </w:rPr>
              <w:t xml:space="preserve"> antes de cualquier métrica. La corrección exige evaluación nueva y reservada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Validez externa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Entorno artificial de laboratorio, un solo dataset y </w:t>
            </w:r>
            <w:r>
              <w:rPr>
                <w:b/>
                <w:i w:val="0"/>
                <w:color w:val="131B2E"/>
                <w:sz w:val="16"/>
              </w:rPr>
              <w:t>sin jornada de holdout externa</w:t>
            </w:r>
            <w:r>
              <w:rPr>
                <w:b w:val="0"/>
                <w:i w:val="0"/>
                <w:color w:val="131B2E"/>
                <w:sz w:val="16"/>
              </w:rPr>
              <w:t>: los 44 perfiles aparecen en las tres particiones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Se recolecta jornada nueva el 24 de octubre. Hasta entonces </w:t>
            </w:r>
            <w:r>
              <w:rPr>
                <w:b/>
                <w:i w:val="0"/>
                <w:color w:val="131B2E"/>
                <w:sz w:val="16"/>
              </w:rPr>
              <w:t>no se afirma generalización</w:t>
            </w:r>
          </w:p>
        </w:tc>
      </w:tr>
      <w:tr>
        <w:tc>
          <w:tcPr>
            <w:tcW w:type="dxa" w:w="1928"/>
            <w:shd w:val="clear" w:fill="EEF3FA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Validez de conclusión</w:t>
            </w:r>
          </w:p>
        </w:tc>
        <w:tc>
          <w:tcPr>
            <w:tcW w:type="dxa" w:w="3742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 xml:space="preserve">Los intervalos por ventana son </w:t>
            </w:r>
            <w:r>
              <w:rPr>
                <w:b/>
                <w:i w:val="0"/>
                <w:color w:val="131B2E"/>
                <w:sz w:val="16"/>
              </w:rPr>
              <w:t>descriptivos</w:t>
            </w:r>
            <w:r>
              <w:rPr>
                <w:b w:val="0"/>
                <w:i w:val="0"/>
                <w:color w:val="131B2E"/>
                <w:sz w:val="16"/>
              </w:rPr>
              <w:t>: las ventanas de un episodio comparten historia y no son observaciones independientes</w:t>
            </w:r>
          </w:p>
        </w:tc>
        <w:tc>
          <w:tcPr>
            <w:tcW w:type="dxa" w:w="4195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Se reportan como descriptivos, no como prueba inferencial; la comparación entre modelos usa McNemar con corrección de Holm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i w:val="0"/>
                <w:color w:val="131B2E"/>
                <w:sz w:val="16"/>
              </w:rPr>
              <w:t>Validez de constructo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/>
                <w:color w:val="131B2E"/>
                <w:sz w:val="16"/>
              </w:rPr>
              <w:t>«¿el FPR de laboratorio mide el FPR de operación?»</w:t>
            </w:r>
            <w:r>
              <w:rPr>
                <w:b w:val="0"/>
                <w:i w:val="0"/>
                <w:color w:val="131B2E"/>
                <w:sz w:val="16"/>
              </w:rPr>
              <w:t xml:space="preserve"> — </w:t>
            </w:r>
            <w:r>
              <w:rPr>
                <w:b/>
                <w:i w:val="0"/>
                <w:color w:val="131B2E"/>
                <w:sz w:val="16"/>
              </w:rPr>
              <w:t>la medición dice que no</w:t>
            </w:r>
            <w:r>
              <w:rPr>
                <w:b w:val="0"/>
                <w:i w:val="0"/>
                <w:color w:val="131B2E"/>
                <w:sz w:val="16"/>
              </w:rPr>
              <w:t>: 4,71 % frente a 25,81 % (pase 1) y 22,97 % (pase 2)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i w:val="0"/>
                <w:color w:val="131B2E"/>
                <w:sz w:val="16"/>
              </w:rPr>
              <w:t>Se reportan ambos por separado y se declara la brecha como el hallazgo principal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b/>
          <w:color w:val="1F4E79"/>
          <w:sz w:val="25"/>
        </w:rPr>
        <w:t>6 ·  Conclusión</w:t>
      </w:r>
    </w:p>
    <w:p>
      <w:pPr>
        <w:spacing w:after="100"/>
        <w:jc w:val="both"/>
      </w:pPr>
      <w:r>
        <w:rPr>
          <w:b w:val="0"/>
          <w:i w:val="0"/>
          <w:color w:val="131B2E"/>
          <w:sz w:val="18"/>
        </w:rPr>
        <w:t xml:space="preserve">Se demostró con evidencia que el sistema </w:t>
      </w:r>
      <w:r>
        <w:rPr>
          <w:b/>
          <w:i w:val="0"/>
          <w:color w:val="131B2E"/>
          <w:sz w:val="18"/>
        </w:rPr>
        <w:t>detecta y bloquea en tiempo real</w:t>
      </w:r>
      <w:r>
        <w:rPr>
          <w:b w:val="0"/>
          <w:i w:val="0"/>
          <w:color w:val="131B2E"/>
          <w:sz w:val="18"/>
        </w:rPr>
        <w:t xml:space="preserve"> sobre una red enrutada, con ROC-AUC de 0,974, detección del 88,8 % sobre ataques genuinos y bloqueo en una mediana de 8 segundos, sin ninguna caída de servicio registrada.</w:t>
      </w:r>
    </w:p>
    <w:p>
      <w:pPr>
        <w:spacing w:after="100"/>
        <w:jc w:val="both"/>
      </w:pPr>
      <w:r>
        <w:rPr>
          <w:b/>
          <w:i w:val="0"/>
          <w:color w:val="131B2E"/>
          <w:sz w:val="18"/>
        </w:rPr>
        <w:t>No se demostró</w:t>
      </w:r>
      <w:r>
        <w:rPr>
          <w:b w:val="0"/>
          <w:i w:val="0"/>
          <w:color w:val="131B2E"/>
          <w:sz w:val="18"/>
        </w:rPr>
        <w:t xml:space="preserve"> que lo haga con una tasa de falsos positivos aceptable sobre tráfico legítimo pesado: en esa condición el sistema todavía no es apto para operación desatendida.</w:t>
      </w:r>
    </w:p>
    <w:p>
      <w:pPr>
        <w:spacing w:after="100"/>
        <w:jc w:val="both"/>
      </w:pPr>
      <w:r>
        <w:rPr>
          <w:b w:val="0"/>
          <w:i/>
          <w:color w:val="5B6B8C"/>
          <w:sz w:val="18"/>
        </w:rPr>
        <w:t>Delimitar esa frontera con medición —y no ocultarla— es el resultado de esta evaluación. Un hallazgo negativo verificado vale más que una conclusión favorable sin respaldo.</w:t>
      </w:r>
    </w:p>
    <w:p>
      <w:pPr>
        <w:spacing w:after="100"/>
        <w:jc w:val="both"/>
      </w:pPr>
      <w:r>
        <w:rPr>
          <w:b/>
          <w:i w:val="0"/>
          <w:color w:val="131B2E"/>
          <w:sz w:val="17"/>
        </w:rPr>
        <w:t>Cualquiera puede descargarlo y ejecutarlo.</w:t>
      </w:r>
      <w:r>
        <w:rPr>
          <w:b w:val="0"/>
          <w:i w:val="0"/>
          <w:color w:val="131B2E"/>
          <w:sz w:val="17"/>
        </w:rPr>
        <w:t xml:space="preserve"> Repositorio público: </w:t>
      </w:r>
      <w:r>
        <w:rPr>
          <w:rFonts w:ascii="Consolas" w:hAnsi="Consolas"/>
          <w:b w:val="0"/>
          <w:i w:val="0"/>
          <w:color w:val="131B2E"/>
          <w:sz w:val="17"/>
        </w:rPr>
        <w:t>github.com/marksato13/VF-Sistema-Open-Source-para-la-Deteccion-Temprana-de-Comportamientos-Anomalos-en-Redes-de-Datos</w:t>
      </w:r>
      <w:r>
        <w:rPr>
          <w:b w:val="0"/>
          <w:i w:val="0"/>
          <w:color w:val="131B2E"/>
          <w:sz w:val="17"/>
        </w:rPr>
        <w:t xml:space="preserve"> — con el dataset, los 7 modelos, los scripts que generan cada cifra de este informe y el entorno con versiones exactas.</w:t>
      </w:r>
    </w:p>
    <w:p>
      <w:pPr>
        <w:spacing w:before="200" w:after="60"/>
      </w:pPr>
      <w:r>
        <w:rPr>
          <w:b/>
          <w:color w:val="1F4E79"/>
          <w:sz w:val="20"/>
        </w:rPr>
        <w:t>Evidencia en el repositorio</w:t>
      </w:r>
    </w:p>
    <w:p>
      <w:pPr>
        <w:spacing w:after="20"/>
        <w:ind w:left="200"/>
      </w:pPr>
      <w:r>
        <w:rPr>
          <w:color w:val="131B2E"/>
          <w:sz w:val="16"/>
        </w:rPr>
        <w:t xml:space="preserve">Informe detallado, con las 11 figuras y la trazabilidad de cada cifra — </w:t>
      </w:r>
      <w:hyperlink r:id="rId10">
        <w:r>
          <w:rPr>
            <w:color w:val="2E74B5"/>
            <w:u w:val="single"/>
            <w:sz w:val="16"/>
          </w:rPr>
          <w:t>abrir en GitHub</w:t>
        </w:r>
      </w:hyperlink>
    </w:p>
    <w:p>
      <w:pPr>
        <w:spacing w:after="20"/>
        <w:ind w:left="200"/>
      </w:pPr>
      <w:r>
        <w:rPr>
          <w:color w:val="131B2E"/>
          <w:sz w:val="16"/>
        </w:rPr>
        <w:t xml:space="preserve">Ablación por capas y comparación 14 vs. 28 variables — </w:t>
      </w:r>
      <w:hyperlink r:id="rId11">
        <w:r>
          <w:rPr>
            <w:color w:val="2E74B5"/>
            <w:u w:val="single"/>
            <w:sz w:val="16"/>
          </w:rPr>
          <w:t>abrir en GitHub</w:t>
        </w:r>
      </w:hyperlink>
    </w:p>
    <w:p>
      <w:pPr>
        <w:spacing w:after="20"/>
        <w:ind w:left="200"/>
      </w:pPr>
      <w:r>
        <w:rPr>
          <w:color w:val="131B2E"/>
          <w:sz w:val="16"/>
        </w:rPr>
        <w:t xml:space="preserve">Significancia estadística entre los siete modelos — </w:t>
      </w:r>
      <w:hyperlink r:id="rId12">
        <w:r>
          <w:rPr>
            <w:color w:val="2E74B5"/>
            <w:u w:val="single"/>
            <w:sz w:val="16"/>
          </w:rPr>
          <w:t>abrir en GitHub</w:t>
        </w:r>
      </w:hyperlink>
    </w:p>
    <w:p>
      <w:pPr>
        <w:spacing w:after="20"/>
        <w:ind w:left="200"/>
      </w:pPr>
      <w:r>
        <w:rPr>
          <w:color w:val="131B2E"/>
          <w:sz w:val="16"/>
        </w:rPr>
        <w:t xml:space="preserve">Validación del sistema desplegado (F6) — </w:t>
      </w:r>
      <w:hyperlink r:id="rId13">
        <w:r>
          <w:rPr>
            <w:color w:val="2E74B5"/>
            <w:u w:val="single"/>
            <w:sz w:val="16"/>
          </w:rPr>
          <w:t>abrir en GitHub</w:t>
        </w:r>
      </w:hyperlink>
    </w:p>
    <w:p>
      <w:pPr>
        <w:spacing w:after="20"/>
        <w:ind w:left="200"/>
      </w:pPr>
      <w:r>
        <w:rPr>
          <w:color w:val="131B2E"/>
          <w:sz w:val="16"/>
        </w:rPr>
        <w:t xml:space="preserve">Las 11 gráficas, generadas por script desde los datos reales — </w:t>
      </w:r>
      <w:hyperlink r:id="rId14">
        <w:r>
          <w:rPr>
            <w:color w:val="2E74B5"/>
            <w:u w:val="single"/>
            <w:sz w:val="16"/>
          </w:rPr>
          <w:t>abrir en GitHub</w:t>
        </w:r>
      </w:hyperlink>
    </w:p>
    <w:sectPr w:rsidR="00FC693F" w:rsidRPr="0006063C" w:rsidSect="00034616">
      <w:footerReference w:type="default" r:id="rId15"/>
      <w:headerReference w:type="default" r:id="rId16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200"/>
      </w:tabs>
    </w:pPr>
    <w:r/>
    <w:r>
      <w:rPr>
        <w:color w:val="5B6B8C"/>
        <w:sz w:val="14"/>
      </w:rPr>
      <w:t>Informe de evaluación crítica · Salazar Tocas &amp; Sauñe Fernandez</w:t>
      <w:tab/>
    </w:r>
    <w:r>
      <w:rPr>
        <w:color w:val="5B6B8C"/>
        <w:sz w:val="14"/>
      </w:rPr>
      <w:t xml:space="preserve">Página </w:t>
    </w:r>
    <w:r>
      <w:rPr>
        <w:color w:val="5B6B8C"/>
        <w:sz w:val="14"/>
      </w:rPr>
      <w:fldChar w:fldCharType="begin"/>
      <w:instrText xml:space="preserve"> PAGE </w:instrText>
      <w:fldChar w:fldCharType="end"/>
    </w:r>
    <w:r>
      <w:rPr>
        <w:color w:val="5B6B8C"/>
        <w:sz w:val="14"/>
      </w:rPr>
      <w:t xml:space="preserve"> de </w:t>
    </w:r>
    <w:r>
      <w:rPr>
        <w:color w:val="5B6B8C"/>
        <w:sz w:val="14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BFBFBF" w:space="3"/>
      </w:pBdr>
    </w:pPr>
    <w:r/>
    <w:r>
      <w:rPr>
        <w:i/>
        <w:color w:val="5B6B8C"/>
        <w:sz w:val="14"/>
      </w:rPr>
      <w:t>Investigación V · Sesión 01 · UPeU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marksato13/VF-Sistema-Open-Source-para-la-Deteccion-Temprana-de-Comportamientos-Anomalos-en-Redes-de-Datos/blob/main/docs/entregables/01-evaluacion-critica/informe-evaluacion-critica.md" TargetMode="External"/><Relationship Id="rId11" Type="http://schemas.openxmlformats.org/officeDocument/2006/relationships/hyperlink" Target="https://github.com/marksato13/VF-Sistema-Open-Source-para-la-Deteccion-Temprana-de-Comportamientos-Anomalos-en-Redes-de-Datos/blob/main/docs/fase04-modelado/07-ablacion-multicapa.md" TargetMode="External"/><Relationship Id="rId12" Type="http://schemas.openxmlformats.org/officeDocument/2006/relationships/hyperlink" Target="https://github.com/marksato13/VF-Sistema-Open-Source-para-la-Deteccion-Temprana-de-Comportamientos-Anomalos-en-Redes-de-Datos/blob/main/docs/fase04-modelado/08-significancia-entre-modelos.md" TargetMode="External"/><Relationship Id="rId13" Type="http://schemas.openxmlformats.org/officeDocument/2006/relationships/hyperlink" Target="https://github.com/marksato13/VF-Sistema-Open-Source-para-la-Deteccion-Temprana-de-Comportamientos-Anomalos-en-Redes-de-Datos/blob/main/docs/fase07-validacion-final/02-resultados-f6.md" TargetMode="External"/><Relationship Id="rId14" Type="http://schemas.openxmlformats.org/officeDocument/2006/relationships/hyperlink" Target="https://github.com/marksato13/VF-Sistema-Open-Source-para-la-Deteccion-Temprana-de-Comportamientos-Anomalos-en-Redes-de-Datos/blob/main/docs/entregables/graficas" TargetMode="External"/><Relationship Id="rId15" Type="http://schemas.openxmlformats.org/officeDocument/2006/relationships/footer" Target="footer1.xml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evaluación crítica de resultados</dc:title>
  <dc:subject>Investigación V · Sesión 01 · Evaluación crítica de los resultados de la tesis</dc:subject>
  <dc:creator>Rubén Mark Salazar Tocas; Uziel Elias Sauñe Fernandez</dc:creator>
  <cp:keywords>detección de anomalías; seguridad de redes; aprendizaje no supervisado; OCSVM</cp:keywords>
  <dc:description>Documento generado por script desde los artefactos del proyecto; ninguna cifra se transcribe a mano.</dc:description>
  <cp:lastModifiedBy>Rubén Mark Salazar Tocas; Uziel Elias Sauñe Fernandez</cp:lastModifiedBy>
  <cp:revision>1</cp:revision>
  <dcterms:created xsi:type="dcterms:W3CDTF">2013-12-23T23:15:00Z</dcterms:created>
  <dcterms:modified xsi:type="dcterms:W3CDTF">2013-12-23T23:15:00Z</dcterms:modified>
  <cp:category>Investigación V · UPeU</cp:category>
</cp:coreProperties>
</file>