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Los resultados </w:t>
            </w:r>
            <w:r>
              <w:rPr>
                <w:b/>
                <w:i w:val="0"/>
                <w:color w:val="131B2E"/>
                <w:sz w:val="19"/>
              </w:rPr>
              <w:t>sí sostienen</w:t>
            </w:r>
            <w:r>
              <w:rPr>
                <w:b w:val="0"/>
                <w:i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i w:val="0"/>
                <w:color w:val="131B2E"/>
                <w:sz w:val="19"/>
              </w:rPr>
              <w:t>88.8 %</w:t>
            </w:r>
            <w:r>
              <w:rPr>
                <w:b w:val="0"/>
                <w:i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i w:val="0"/>
                <w:color w:val="131B2E"/>
                <w:sz w:val="19"/>
              </w:rPr>
              <w:t>0,974</w:t>
            </w:r>
            <w:r>
              <w:rPr>
                <w:b w:val="0"/>
                <w:i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i w:val="0"/>
                <w:color w:val="131B2E"/>
                <w:sz w:val="19"/>
              </w:rPr>
              <w:t>8 segundos</w:t>
            </w:r>
            <w:r>
              <w:rPr>
                <w:b w:val="0"/>
                <w:i w:val="0"/>
                <w:color w:val="131B2E"/>
                <w:sz w:val="19"/>
              </w:rPr>
              <w:t xml:space="preserve">). </w:t>
            </w:r>
            <w:r>
              <w:rPr>
                <w:b/>
                <w:i w:val="0"/>
                <w:color w:val="131B2E"/>
                <w:sz w:val="19"/>
              </w:rPr>
              <w:t>No sostienen todavía</w:t>
            </w:r>
            <w:r>
              <w:rPr>
                <w:b w:val="0"/>
                <w:i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Análisis de sensibilidad.</w:t>
      </w:r>
      <w:r>
        <w:rPr>
          <w:b w:val="0"/>
          <w:i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i w:val="0"/>
          <w:color w:val="131B2E"/>
          <w:sz w:val="20"/>
        </w:rPr>
        <w:t>solo sobre los modelos descartados</w:t>
      </w:r>
      <w:r>
        <w:rPr>
          <w:b w:val="0"/>
          <w:i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Selección del modelo sin contaminar la prueba.</w:t>
      </w:r>
      <w:r>
        <w:rPr>
          <w:b w:val="0"/>
          <w:i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i w:val="0"/>
          <w:color w:val="131B2E"/>
          <w:sz w:val="20"/>
        </w:rPr>
        <w:t>88.3 %</w:t>
      </w:r>
      <w:r>
        <w:rPr>
          <w:b w:val="0"/>
          <w:i w:val="0"/>
          <w:color w:val="131B2E"/>
          <w:sz w:val="20"/>
        </w:rPr>
        <w:t xml:space="preserve"> de detección es el máximo entre </w:t>
      </w:r>
      <w:r>
        <w:rPr>
          <w:b/>
          <w:i w:val="0"/>
          <w:color w:val="131B2E"/>
          <w:sz w:val="20"/>
        </w:rPr>
        <w:t>7 candidatos</w:t>
      </w:r>
      <w:r>
        <w:rPr>
          <w:b w:val="0"/>
          <w:i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Pruebas de significancia estadística.</w:t>
      </w:r>
      <w:r>
        <w:rPr>
          <w:b w:val="0"/>
          <w:i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i w:val="0"/>
          <w:color w:val="131B2E"/>
          <w:sz w:val="20"/>
        </w:rPr>
        <w:t>seis del OCSVM son significativas sin excepción</w:t>
      </w:r>
      <w:r>
        <w:rPr>
          <w:b w:val="0"/>
          <w:i w:val="0"/>
          <w:color w:val="131B2E"/>
          <w:sz w:val="20"/>
        </w:rPr>
        <w:t xml:space="preserve">; en cambio </w:t>
      </w:r>
      <w:r>
        <w:rPr>
          <w:b/>
          <w:i w:val="0"/>
          <w:color w:val="131B2E"/>
          <w:sz w:val="20"/>
        </w:rPr>
        <w:t>ninguna diferencia de falso positivo lo es</w:t>
      </w:r>
      <w:r>
        <w:rPr>
          <w:b w:val="0"/>
          <w:i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 midió el sistema completo en operación real</w:t>
      </w:r>
      <w:r>
        <w:rPr>
          <w:b w:val="0"/>
          <w:i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Ataques genuinos</w:t>
      </w:r>
      <w:r>
        <w:rPr>
          <w:b w:val="0"/>
          <w:i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 declaró la procedencia heterogénea</w:t>
      </w:r>
      <w:r>
        <w:rPr>
          <w:b w:val="0"/>
          <w:i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frente a </w:t>
      </w:r>
      <w:r>
        <w:rPr>
          <w:b/>
          <w:i w:val="0"/>
          <w:color w:val="131B2E"/>
          <w:sz w:val="20"/>
        </w:rPr>
        <w:t>83,3 %</w:t>
      </w:r>
      <w:r>
        <w:rPr>
          <w:b w:val="0"/>
          <w:i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25,81 %  (16/62)</w:t>
            </w:r>
          </w:p>
        </w:tc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22,97 %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90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Intervalos de Wilson descriptivos; las ventanas comparten episodio e historia, por lo que el gráfico no prueba por sí solo una diferencia inferencial.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Se reprodujo </w:t>
            </w:r>
            <w:r>
              <w:rPr>
                <w:b/>
                <w:i w:val="0"/>
                <w:color w:val="131B2E"/>
                <w:sz w:val="19"/>
              </w:rPr>
              <w:t>sin contaminación entre pruebas</w:t>
            </w:r>
            <w:r>
              <w:rPr>
                <w:b w:val="0"/>
                <w:i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i w:val="0"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i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i w:val="0"/>
                <w:color w:val="131B2E"/>
                <w:sz w:val="19"/>
              </w:rPr>
              <w:t>0,0014 puntos</w:t>
            </w:r>
            <w:r>
              <w:rPr>
                <w:b w:val="0"/>
                <w:i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Partición por sesiones independientes.</w:t>
      </w:r>
      <w:r>
        <w:rPr>
          <w:b w:val="0"/>
          <w:i w:val="0"/>
          <w:color w:val="131B2E"/>
          <w:sz w:val="20"/>
        </w:rPr>
        <w:t xml:space="preserve"> La división se hizo por índice de repetición, por lo que los </w:t>
      </w:r>
      <w:r>
        <w:rPr>
          <w:b/>
          <w:i w:val="0"/>
          <w:color w:val="131B2E"/>
          <w:sz w:val="20"/>
        </w:rPr>
        <w:t>44 perfiles</w:t>
      </w:r>
      <w:r>
        <w:rPr>
          <w:b w:val="0"/>
          <w:i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Jornada de validación temporal externa.</w:t>
      </w:r>
      <w:r>
        <w:rPr>
          <w:b w:val="0"/>
          <w:i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Diversidad de escenarios.</w:t>
      </w:r>
      <w:r>
        <w:rPr>
          <w:b w:val="0"/>
          <w:i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Cero caídas registradas en 58 corridas (55 verificadas), sin pérdida de paquetes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Los dos pases de validación operativa dieron resultados equivalentes: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25,81 %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(16/62) en el pase 1 y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22,97 %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(17/74) en el pase 2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Determinismo del sistema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10 ajustes repetidos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del pipeline elegido produjeron el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mismo SHA-256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y el mismo umbral (</w:t>
            </w:r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1.8126087939765134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Estabilidad del umbral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Remuestreo bootstrap por episodio,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B = 1 000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: coeficiente de variación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4,10 %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(máximo declarado 5 %), banda percentil [1,6496 – 1,8132]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Validación externa del umbral.</w:t>
      </w:r>
      <w:r>
        <w:rPr>
          <w:b w:val="0"/>
          <w:i w:val="0"/>
          <w:color w:val="131B2E"/>
          <w:sz w:val="20"/>
        </w:rPr>
        <w:t xml:space="preserve"> La banda de variabilidad se estimó por remuestreo sobre los mismos episodios; </w:t>
      </w:r>
      <w:r>
        <w:rPr>
          <w:b/>
          <w:i w:val="0"/>
          <w:color w:val="131B2E"/>
          <w:sz w:val="20"/>
        </w:rPr>
        <w:t>no hay una jornada nueva</w:t>
      </w:r>
      <w:r>
        <w:rPr>
          <w:b w:val="0"/>
          <w:i w:val="0"/>
          <w:color w:val="131B2E"/>
          <w:sz w:val="20"/>
        </w:rPr>
        <w:t xml:space="preserve"> que confirme que el umbral sigue siendo válido en otra fecha.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Confiabilidad inter-evaluador.</w:t>
      </w:r>
      <w:r>
        <w:rPr>
          <w:b w:val="0"/>
          <w:i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Lo pendiente de </w:t>
            </w:r>
            <w:r>
              <w:rPr>
                <w:b/>
                <w:i w:val="0"/>
                <w:color w:val="131B2E"/>
                <w:sz w:val="19"/>
              </w:rPr>
              <w:t>horas y días</w:t>
            </w:r>
            <w:r>
              <w:rPr>
                <w:b w:val="0"/>
                <w:i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i w:val="0"/>
                <w:color w:val="131B2E"/>
                <w:sz w:val="19"/>
              </w:rPr>
              <w:t>semanas</w:t>
            </w:r>
            <w:r>
              <w:rPr>
                <w:b w:val="0"/>
                <w:i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Campbell, D. T., &amp; Stanley, J. C. (1963).</w:t>
      </w:r>
      <w:r>
        <w:rPr>
          <w:b w:val="0"/>
          <w:i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Wilson, E. B. (1927).</w:t>
      </w:r>
      <w:r>
        <w:rPr>
          <w:b w:val="0"/>
          <w:i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Cronbach, L. J. (1951).</w:t>
      </w:r>
      <w:r>
        <w:rPr>
          <w:b w:val="0"/>
          <w:i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Peng, R. D. (2011).</w:t>
      </w:r>
      <w:r>
        <w:rPr>
          <w:b w:val="0"/>
          <w:i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Kapoor, S., &amp; Narayanan, A. (2023).</w:t>
      </w:r>
      <w:r>
        <w:rPr>
          <w:b w:val="0"/>
          <w:i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ISO/IEC 25010:2011.</w:t>
      </w:r>
      <w:r>
        <w:rPr>
          <w:b w:val="0"/>
          <w:i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 de validación y confiabilidad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Análisis completo con las 11 figuras y los 7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Datasheet del corpus: procedencia, calidad y límites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cruzada por episodio y banda del umbral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marksato13/VF-Sistema-Open-Source-para-la-Deteccion-Temprana-de-Comportamientos-Anomalos-en-Redes-de-Datos/blob/main/docs/entregables/02-validacion-y-confiabilidad/informe-validacion-confiabilidad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dataset/DATASHEET_MULTILAYER_V2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9-validacion-cruzada-y-estabilidad.md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