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01</w:t>
      </w:r>
    </w:p>
    <w:p>
      <w:pPr>
        <w:spacing w:before="140" w:after="40"/>
        <w:jc w:val="center"/>
      </w:pPr>
      <w:r>
        <w:rPr>
          <w:b/>
          <w:color w:val="1F4E79"/>
          <w:sz w:val="29"/>
        </w:rPr>
        <w:t>INFORME DE EVALUACIÓN CRÍTICA DE RESULTADOS</w:t>
      </w:r>
    </w:p>
    <w:p>
      <w:pPr>
        <w:spacing w:after="180"/>
        <w:jc w:val="center"/>
      </w:pPr>
      <w:r>
        <w:rPr>
          <w:b w:val="0"/>
          <w:i w:val="0"/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  <w:br/>
        <w:t>Asesores: Ing. Nemias Saboya Ríos · Ing. Fernando Manuel Asin Gómez</w:t>
      </w:r>
    </w:p>
    <w:p>
      <w:pPr>
        <w:spacing w:before="220" w:after="80"/>
      </w:pPr>
      <w:r>
        <w:rPr>
          <w:b/>
          <w:color w:val="1F4E79"/>
          <w:sz w:val="25"/>
        </w:rPr>
        <w:t>1 ·  Qué se abordó de manera objetiva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detecta comportamiento anómalo y </w:t>
      </w:r>
      <w:r>
        <w:rPr>
          <w:b/>
          <w:i w:val="0"/>
          <w:color w:val="131B2E"/>
          <w:sz w:val="18"/>
        </w:rPr>
        <w:t>bloquea la IP ofensora en el propio router</w:t>
      </w:r>
      <w:r>
        <w:rPr>
          <w:b w:val="0"/>
          <w:i w:val="0"/>
          <w:color w:val="131B2E"/>
          <w:sz w:val="18"/>
        </w:rPr>
        <w:t>, validado sobre tráfico real de laboratorio. Toda cifra procede de artefactos verificables; ninguna se transcribe a mano.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evaluado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 obtenido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verificó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Capacidad discriminante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ROC-AUC 0,974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Re-puntuando el modelo congelado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Detección de ataques genuinos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88,8 %</w:t>
            </w:r>
            <w:r>
              <w:rPr>
                <w:b w:val="0"/>
                <w:color w:val="131B2E"/>
                <w:sz w:val="16"/>
              </w:rPr>
              <w:t xml:space="preserve"> [83,0 – 92,8]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Evaluación bloqueada de un solo paso, con intervalo de Wilson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Respuesta en tiempo real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Bloqueo en mediana de </w:t>
            </w:r>
            <w:r>
              <w:rPr>
                <w:b/>
                <w:color w:val="131B2E"/>
                <w:sz w:val="16"/>
              </w:rPr>
              <w:t>8,0 s</w:t>
            </w:r>
            <w:r>
              <w:rPr>
                <w:b w:val="0"/>
                <w:color w:val="131B2E"/>
                <w:sz w:val="16"/>
              </w:rPr>
              <w:t>; rango 6,1–13,7 s (n = 8)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58 corridas con el motor activo; 8 bloqueos con tiempo observable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Disponibilidad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Cero caídas registradas</w:t>
            </w:r>
            <w:r>
              <w:rPr>
                <w:b w:val="0"/>
                <w:color w:val="131B2E"/>
                <w:sz w:val="16"/>
              </w:rPr>
              <w:t>; 55 de 58 corridas con verificación explícita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Registro de servicios antes y después de cada corrida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Aporte de las variables multicapa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De </w:t>
            </w:r>
            <w:r>
              <w:rPr>
                <w:b/>
                <w:color w:val="131B2E"/>
                <w:sz w:val="16"/>
              </w:rPr>
              <w:t>66,5 % a 88,8 %</w:t>
            </w:r>
            <w:r>
              <w:rPr>
                <w:b w:val="0"/>
                <w:color w:val="131B2E"/>
                <w:sz w:val="16"/>
              </w:rPr>
              <w:t xml:space="preserve"> de detección, p &lt; 0,001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Ablación por capas con McNemar exacto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Superioridad del modelo elegido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Las </w:t>
            </w:r>
            <w:r>
              <w:rPr>
                <w:b/>
                <w:color w:val="131B2E"/>
                <w:sz w:val="16"/>
              </w:rPr>
              <w:t>6 comparaciones</w:t>
            </w:r>
            <w:r>
              <w:rPr>
                <w:b w:val="0"/>
                <w:color w:val="131B2E"/>
                <w:sz w:val="16"/>
              </w:rPr>
              <w:t xml:space="preserve"> del OCSVM son significativas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McNemar + corrección de Holm sobre 21 pares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Reproducibilidad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los 7 modelos</w:t>
            </w:r>
            <w:r>
              <w:rPr>
                <w:b w:val="0"/>
                <w:color w:val="131B2E"/>
                <w:sz w:val="16"/>
              </w:rPr>
              <w:t xml:space="preserve"> publicados y verificables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sha256sum -c · licencias MIT y CC BY 4.0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456000" cy="271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-curva-r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271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6B8C"/>
          <w:sz w:val="15"/>
        </w:rPr>
        <w:t>Figura 1. Curva ROC del modelo congelado. El AUC de 0,974 se calculó en esta evaluación: el trabajo original nunca lo computó.</w:t>
      </w:r>
    </w:p>
    <w:p>
      <w:pPr>
        <w:spacing w:before="220" w:after="80"/>
      </w:pPr>
      <w:r>
        <w:rPr>
          <w:b/>
          <w:color w:val="1F4E79"/>
          <w:sz w:val="25"/>
        </w:rPr>
        <w:t>2 ·  Qué está faltando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Las debilidades se ordenan por gravedad y </w:t>
      </w:r>
      <w:r>
        <w:rPr>
          <w:b/>
          <w:i w:val="0"/>
          <w:color w:val="131B2E"/>
          <w:sz w:val="18"/>
        </w:rPr>
        <w:t>todas están medidas</w:t>
      </w:r>
      <w:r>
        <w:rPr>
          <w:b w:val="0"/>
          <w:i w:val="0"/>
          <w:color w:val="131B2E"/>
          <w:sz w:val="18"/>
        </w:rPr>
        <w:t>, no supuestas.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Debilidad</w:t>
            </w:r>
          </w:p>
        </w:tc>
        <w:tc>
          <w:tcPr>
            <w:tcW w:type="dxa" w:w="521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Gravedad</w:t>
            </w:r>
          </w:p>
        </w:tc>
      </w:tr>
      <w:tr>
        <w:tc>
          <w:tcPr>
            <w:tcW w:type="dxa" w:w="2835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falso positivo de laboratorio no se sostiene en operación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4,71 % [2,8–7,9] frente a 22,97 % [14,9–33,7]. Son intervalos descriptivos por ventana: las ventanas comparten episodio e historia. Una transferencia legítima de 200 Mbit/s bloqueó a un cliente real 120 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835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modelo se eligió observando el conjunto de prueba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El manifiesto designaba otro modelo como conclusión y a este como comparador. El 88,3 % es el máximo sobre 7 candidatos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83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Ninguna validación con usuarios reales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No se midió la experiencia de uso del panel ni se aplicó instrumento alguno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83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La partición mide repetición, no generalización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Los 44 perfiles aparecen en las tres particiones; no existe jornada de holdout externa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83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interna, no externa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Hay 5 pliegues agrupados por episodio normal y bootstrap por episodio (B = 1 000; CV del umbral 4,10 %), pero se reutilizan las mismas anomalías y no existe jornada externa</w:t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</w:t>
            </w:r>
          </w:p>
        </w:tc>
      </w:tr>
      <w:tr>
        <w:tc>
          <w:tcPr>
            <w:tcW w:type="dxa" w:w="283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Las 8 variables L7 nuevas no aportan detección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 ablación las midió: p = 1,000 y </w:t>
            </w:r>
            <w:r>
              <w:rPr>
                <w:b/>
                <w:color w:val="131B2E"/>
                <w:sz w:val="16"/>
              </w:rPr>
              <w:t>5 falsos positivos adicionales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0513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fpr-offline-vs-operativ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51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6B8C"/>
          <w:sz w:val="15"/>
        </w:rPr>
        <w:t>Figura 2. El hallazgo más importante: el error sobre tráfico legítimo medido en laboratorio no se reproduce en operación real.</w:t>
      </w:r>
    </w:p>
    <w:p>
      <w:pPr>
        <w:spacing w:before="220" w:after="80"/>
      </w:pPr>
      <w:r>
        <w:rPr>
          <w:b/>
          <w:color w:val="1F4E79"/>
          <w:sz w:val="25"/>
        </w:rPr>
        <w:t>3 ·  Cómo se está abordando lo que falta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Ya resuelto</w:t>
      </w:r>
      <w:r>
        <w:rPr>
          <w:b w:val="0"/>
          <w:i w:val="0"/>
          <w:color w:val="131B2E"/>
          <w:sz w:val="18"/>
        </w:rPr>
        <w:t>, sin capturar datos nuevos ni reentrenar el modelo congelado: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487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Acción ejecutada</w:t>
            </w:r>
          </w:p>
        </w:tc>
        <w:tc>
          <w:tcPr>
            <w:tcW w:type="dxa" w:w="442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cerró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Intervalos de Wilson en toda proporción y </w:t>
            </w:r>
            <w:r>
              <w:rPr>
                <w:b/>
                <w:color w:val="131B2E"/>
                <w:sz w:val="16"/>
              </w:rPr>
              <w:t>McNemar con corrección de Holm</w:t>
            </w:r>
            <w:r>
              <w:rPr>
                <w:b w:val="0"/>
                <w:color w:val="131B2E"/>
                <w:sz w:val="16"/>
              </w:rPr>
              <w:t xml:space="preserve"> sobre 21 comparaciones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Ausencia de medidas de incertidumbre y de pruebas de significancia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Ablación por capas y comparación 14 vs 28</w:t>
            </w:r>
            <w:r>
              <w:rPr>
                <w:b w:val="0"/>
                <w:color w:val="131B2E"/>
                <w:sz w:val="16"/>
              </w:rPr>
              <w:t>, con la configuración completa reproduciendo el modelo congelado bit a bit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Requisito explícito del jurado, antes sin ejecutar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Diccionario científico de las 28 variables</w:t>
            </w:r>
            <w:r>
              <w:rPr>
                <w:b w:val="0"/>
                <w:color w:val="131B2E"/>
                <w:sz w:val="16"/>
              </w:rPr>
              <w:t>, generado desde el extractor congelado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Requisito explícito del jurado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7 modelos publicados</w:t>
            </w:r>
            <w:r>
              <w:rPr>
                <w:b w:val="0"/>
                <w:color w:val="131B2E"/>
                <w:sz w:val="16"/>
              </w:rPr>
              <w:t xml:space="preserve"> con checksums y licencias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Imposibilidad de replicar desde un clon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*Datasheet*, *model card* y *system card*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Ausencia de documentación canónica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Declaración explícita de la selección posterior</w:t>
            </w:r>
            <w:r>
              <w:rPr>
                <w:b w:val="0"/>
                <w:color w:val="131B2E"/>
                <w:sz w:val="16"/>
              </w:rPr>
              <w:t xml:space="preserve"> del modelo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Objeción metodológica principal, ahora declarada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cruzada agrupada y bootstrap por episodio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Variación interna del modelo y del umbral; no sustituyen una evaluación externa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La fecha que ordena el cronograma es el 30 de septiembre de 2026:</w:t>
      </w:r>
      <w:r>
        <w:rPr>
          <w:b w:val="0"/>
          <w:i w:val="0"/>
          <w:color w:val="131B2E"/>
          <w:sz w:val="18"/>
        </w:rPr>
        <w:t xml:space="preserve"> IJIES sube su APC de USD 300 a USD 400 el 1 de octubre, y el cargo lo asume la Universidad Peruana Unión. Con la mediana medida de la revista —41 días a la primera decisión, 158 hasta publicar—, un envío el 28 de septiembre proyecta decisión hacia el 8 de noviembre de 2026 y publicación hacia marzo de 2027. Todo lo que alimenta la sección de resultados se cierra antes de esa fecha; lo demás va después.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Pendiente</w:t>
            </w:r>
          </w:p>
        </w:tc>
        <w:tc>
          <w:tcPr>
            <w:tcW w:type="dxa" w:w="351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aborda</w:t>
            </w:r>
          </w:p>
        </w:tc>
        <w:tc>
          <w:tcPr>
            <w:tcW w:type="dxa" w:w="164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Fecha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Declarar la selección posterior en la tesis</w:t>
            </w:r>
          </w:p>
        </w:tc>
        <w:tc>
          <w:tcPr>
            <w:tcW w:type="dxa" w:w="351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Párrafo en metodología, enlazado a la *model card*</w:t>
            </w:r>
          </w:p>
        </w:tc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vie 4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con usuarios (SUS)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Sesión de 2 h con 5–8 evaluadores; instrumento ya preparado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mié 9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Juicio experto (3 evaluadores)</w:t>
            </w:r>
          </w:p>
        </w:tc>
        <w:tc>
          <w:tcPr>
            <w:tcW w:type="dxa" w:w="351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Rúbrica de pertinencia, ya con los resultados del SUS a la vista</w:t>
            </w:r>
          </w:p>
        </w:tc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asesores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mié 23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Escenarios legítimos faltantes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Campaña F1: SSH, SCP/SFTP, backup y actualizaciones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Sauñe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sáb 19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Envío del artículo a IJIES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51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Manuscrito en `IJIES_Format.docx`, 8 a 10 páginas</w:t>
            </w:r>
          </w:p>
        </w:tc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lun 28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Recalibrar con tráfico pesado y repetir F6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Reentrenar con `iperf-tcp 200M` como normalidad; repetir las 29 corridas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sáb 10 oct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*Holdout* temporal externo</w:t>
            </w:r>
          </w:p>
        </w:tc>
        <w:tc>
          <w:tcPr>
            <w:tcW w:type="dxa" w:w="351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Campaña completa en fecha distinta, sin reutilizar episodios</w:t>
            </w:r>
          </w:p>
        </w:tc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sáb 24 oct</w:t>
            </w:r>
            <w:r>
              <w:rPr>
                <w:b w:val="0"/>
                <w:color w:val="131B2E"/>
                <w:sz w:val="16"/>
              </w:rPr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 w:val="0"/>
          <w:i/>
          <w:color w:val="131B2E"/>
          <w:sz w:val="18"/>
        </w:rPr>
      </w:r>
      <w:r>
        <w:rPr>
          <w:b/>
          <w:i/>
          <w:color w:val="131B2E"/>
          <w:sz w:val="18"/>
        </w:rPr>
        <w:t>El SUS va primero porque es el único cero absoluto que queda</w:t>
      </w:r>
      <w:r>
        <w:rPr>
          <w:b w:val="0"/>
          <w:i/>
          <w:color w:val="131B2E"/>
          <w:sz w:val="18"/>
        </w:rPr>
        <w:t>: cero en la ficha de auditoría, cero en el eje de pertinencia y `D-18` en el registro. Cuesta dos horas y sube la ficha de 82,4 % a 88,2 %. El juicio experto va después a propósito: los expertos juzgan mejor con los resultados de los usuarios delante.</w:t>
      </w:r>
    </w:p>
    <w:p>
      <w:pPr>
        <w:spacing w:after="100"/>
        <w:jc w:val="both"/>
      </w:pPr>
      <w:r>
        <w:rPr>
          <w:b w:val="0"/>
          <w:i/>
          <w:color w:val="131B2E"/>
          <w:sz w:val="18"/>
        </w:rPr>
      </w:r>
      <w:r>
        <w:rPr>
          <w:b/>
          <w:i/>
          <w:color w:val="131B2E"/>
          <w:sz w:val="18"/>
        </w:rPr>
        <w:t>El artículo no espera a los tres últimos.</w:t>
      </w:r>
      <w:r>
        <w:rPr>
          <w:b w:val="0"/>
          <w:i/>
          <w:color w:val="131B2E"/>
          <w:sz w:val="18"/>
        </w:rPr>
        <w:t xml:space="preserve"> La sección de resultados se escribe con lo que ya está bloqueado —modelo congelado, evaluación de un solo paso y 58 corridas de F6—: ese resultado está completo y no va a cambiar. Si la recalibración se retrasa, el artículo sale igual con la limitación declarada, que es como debe salir de todos modos. </w:t>
      </w:r>
      <w:r>
        <w:rPr>
          <w:b/>
          <w:i/>
          <w:color w:val="131B2E"/>
          <w:sz w:val="18"/>
        </w:rPr>
        <w:t>La fecha de sustentación no la fija el equipo</w:t>
      </w:r>
      <w:r>
        <w:rPr>
          <w:b w:val="0"/>
          <w:i/>
          <w:color w:val="131B2E"/>
          <w:sz w:val="18"/>
        </w:rPr>
        <w:t>, pero ningún pendiente de esta lista la condiciona más allá del 24 de octubre de 2026.</w:t>
      </w:r>
    </w:p>
    <w:p>
      <w:pPr>
        <w:spacing w:before="220" w:after="80"/>
      </w:pPr>
      <w:r>
        <w:rPr>
          <w:b/>
          <w:color w:val="1F4E79"/>
          <w:sz w:val="25"/>
        </w:rPr>
        <w:t>4 ·  Conclusión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Se demostró con evidencia que el sistema </w:t>
      </w:r>
      <w:r>
        <w:rPr>
          <w:b/>
          <w:i w:val="0"/>
          <w:color w:val="131B2E"/>
          <w:sz w:val="18"/>
        </w:rPr>
        <w:t>detecta y bloquea en tiempo real</w:t>
      </w:r>
      <w:r>
        <w:rPr>
          <w:b w:val="0"/>
          <w:i w:val="0"/>
          <w:color w:val="131B2E"/>
          <w:sz w:val="18"/>
        </w:rPr>
        <w:t xml:space="preserve"> sobre una red enrutada, con ROC-AUC de 0,974, detección del 88,8 % sobre ataques genuinos y bloqueo en una mediana de 8 segundos, sin ninguna caída de servicio registrada.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No se demostró</w:t>
      </w:r>
      <w:r>
        <w:rPr>
          <w:b w:val="0"/>
          <w:i w:val="0"/>
          <w:color w:val="131B2E"/>
          <w:sz w:val="18"/>
        </w:rPr>
        <w:t xml:space="preserve"> que lo haga con una tasa de falsos positivos aceptable sobre tráfico legítimo pesado: en esa condición el sistema todavía no es apto para operación desatendida.</w:t>
      </w:r>
    </w:p>
    <w:p>
      <w:pPr>
        <w:spacing w:after="100"/>
        <w:jc w:val="both"/>
      </w:pPr>
      <w:r>
        <w:rPr>
          <w:b w:val="0"/>
          <w:i/>
          <w:color w:val="5B6B8C"/>
          <w:sz w:val="18"/>
        </w:rPr>
        <w:t>Delimitar esa frontera con medición —y no ocultarla— es el resultado de esta evaluación. Un hallazgo negativo verificado vale más que una conclusión favorable sin respaldo.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Informe detallado, con las 11 figuras y la trazabilidad de cada cifra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Ablación por capas y comparación 14 vs. 28 variables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Significancia estadística entre los siete modelos — </w:t>
      </w:r>
      <w:hyperlink r:id="rId14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Validación del sistema desplegado (F6) — </w:t>
      </w:r>
      <w:hyperlink r:id="rId15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Las 11 gráficas, generadas por script desde los datos reales — </w:t>
      </w:r>
      <w:hyperlink r:id="rId16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7"/>
      <w:headerReference w:type="default" r:id="rId18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Informe de evaluación crítica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01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github.com/marksato13/VF-Sistema-Open-Source-para-la-Deteccion-Temprana-de-Comportamientos-Anomalos-en-Redes-de-Datos/blob/main/docs/entregables/01-evaluacion-critica/informe-evaluacion-critica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fase04-modelado/07-ablacion-multicapa.md" TargetMode="External"/><Relationship Id="rId14" Type="http://schemas.openxmlformats.org/officeDocument/2006/relationships/hyperlink" Target="https://github.com/marksato13/VF-Sistema-Open-Source-para-la-Deteccion-Temprana-de-Comportamientos-Anomalos-en-Redes-de-Datos/blob/main/docs/fase04-modelado/08-significancia-entre-modelos.md" TargetMode="External"/><Relationship Id="rId15" Type="http://schemas.openxmlformats.org/officeDocument/2006/relationships/hyperlink" Target="https://github.com/marksato13/VF-Sistema-Open-Source-para-la-Deteccion-Temprana-de-Comportamientos-Anomalos-en-Redes-de-Datos/blob/main/docs/fase07-validacion-final/02-resultados-f6.md" TargetMode="External"/><Relationship Id="rId16" Type="http://schemas.openxmlformats.org/officeDocument/2006/relationships/hyperlink" Target="https://github.com/marksato13/VF-Sistema-Open-Source-para-la-Deteccion-Temprana-de-Comportamientos-Anomalos-en-Redes-de-Datos/blob/main/docs/entregables/graficas" TargetMode="External"/><Relationship Id="rId17" Type="http://schemas.openxmlformats.org/officeDocument/2006/relationships/footer" Target="footer1.xml"/><Relationship Id="rId1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evaluación crítica de resultados</dc:title>
  <dc:subject>Investigación V · Sesión 01 · Evaluación crítica de los resultados de la tesis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