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398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39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131B2E"/>
          <w:sz w:val="20"/>
        </w:rPr>
        <w:t>Universidad Peruana Unión</w:t>
      </w:r>
    </w:p>
    <w:p>
      <w:pPr>
        <w:spacing w:after="20"/>
        <w:jc w:val="center"/>
      </w:pPr>
      <w:r>
        <w:rPr>
          <w:b w:val="0"/>
          <w:color w:val="5B6B8C"/>
          <w:sz w:val="16"/>
        </w:rPr>
        <w:t>Facultad de Ingeniería y Arquitectura · E.P. de Ingeniería de Sistemas</w:t>
      </w:r>
    </w:p>
    <w:p>
      <w:pPr>
        <w:spacing w:after="20"/>
        <w:jc w:val="center"/>
      </w:pPr>
      <w:r>
        <w:rPr>
          <w:b w:val="0"/>
          <w:color w:val="5B6B8C"/>
          <w:sz w:val="16"/>
        </w:rPr>
        <w:t>Investigación V · Sesión 04</w:t>
      </w:r>
    </w:p>
    <w:p>
      <w:pPr>
        <w:spacing w:before="140" w:after="40"/>
        <w:jc w:val="center"/>
      </w:pPr>
      <w:r>
        <w:rPr>
          <w:b/>
          <w:color w:val="1F4E79"/>
          <w:sz w:val="29"/>
        </w:rPr>
        <w:t>JUSTIFICACIÓN DE LA REVISTA OBJETIVO</w:t>
      </w:r>
    </w:p>
    <w:p>
      <w:pPr>
        <w:spacing w:after="140"/>
        <w:jc w:val="center"/>
      </w:pPr>
      <w:r>
        <w:rPr>
          <w:color w:val="5B6B8C"/>
          <w:sz w:val="17"/>
        </w:rPr>
        <w:t>Sistema open source para la detección temprana de comportamientos anómalos en redes de datos</w:t>
        <w:br/>
        <w:t>Rubén Mark Salazar Tocas · Uziel Elias Sauñe Fernandez</w:t>
        <w:br/>
        <w:t>Asesores: Ing. Nemias Saboya Ríos · Ing. Fernando Manuel Asin Gómez</w:t>
      </w:r>
    </w:p>
    <w:p>
      <w:pPr>
        <w:spacing w:before="160" w:after="60"/>
      </w:pPr>
      <w:r>
        <w:rPr>
          <w:b/>
          <w:color w:val="1F4E79"/>
          <w:sz w:val="23"/>
        </w:rPr>
        <w:t>Decisión</w:t>
      </w:r>
    </w:p>
    <w:p>
      <w:pPr>
        <w:spacing w:after="80"/>
        <w:jc w:val="both"/>
      </w:pPr>
      <w:r>
        <w:rPr>
          <w:b w:val="0"/>
          <w:i w:val="0"/>
          <w:color w:val="131B2E"/>
          <w:sz w:val="18"/>
        </w:rPr>
        <w:t xml:space="preserve">Se elige </w:t>
      </w:r>
      <w:r>
        <w:rPr>
          <w:b/>
          <w:i w:val="0"/>
          <w:color w:val="131B2E"/>
          <w:sz w:val="18"/>
        </w:rPr>
        <w:t>International Journal of Intelligent Engineering and Systems (IJIES)</w:t>
      </w:r>
      <w:r>
        <w:rPr>
          <w:b w:val="0"/>
          <w:i w:val="0"/>
          <w:color w:val="131B2E"/>
          <w:sz w:val="18"/>
        </w:rPr>
        <w:t>. Obtuvo el puntaje ponderado más alto del mapa —</w:t>
      </w:r>
      <w:r>
        <w:rPr>
          <w:b/>
          <w:i w:val="0"/>
          <w:color w:val="131B2E"/>
          <w:sz w:val="18"/>
        </w:rPr>
        <w:t>87.5/100</w:t>
      </w:r>
      <w:r>
        <w:rPr>
          <w:b w:val="0"/>
          <w:i w:val="0"/>
          <w:color w:val="131B2E"/>
          <w:sz w:val="18"/>
        </w:rPr>
        <w:t xml:space="preserve">, o </w:t>
      </w:r>
      <w:r>
        <w:rPr>
          <w:b/>
          <w:i w:val="0"/>
          <w:color w:val="131B2E"/>
          <w:sz w:val="18"/>
        </w:rPr>
        <w:t>8.75/10</w:t>
      </w:r>
      <w:r>
        <w:rPr>
          <w:b w:val="0"/>
          <w:i w:val="0"/>
          <w:color w:val="131B2E"/>
          <w:sz w:val="18"/>
        </w:rPr>
        <w:t>— entre nueve candidatas legítimas, y encabeza tres de los cinco criterios.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Revista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Puntaje /100</w:t>
            </w:r>
          </w:p>
        </w:tc>
        <w:tc>
          <w:tcPr>
            <w:tcW w:type="dxa" w:w="90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/10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h5-index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Art./año</w:t>
            </w:r>
          </w:p>
        </w:tc>
      </w:tr>
      <w:tr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Plan A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124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IJIES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87.5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90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8.75</w:t>
            </w:r>
          </w:p>
        </w:tc>
        <w:tc>
          <w:tcPr>
            <w:tcW w:type="dxa" w:w="124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—</w:t>
            </w:r>
          </w:p>
        </w:tc>
        <w:tc>
          <w:tcPr>
            <w:tcW w:type="dxa" w:w="113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556</w:t>
            </w:r>
          </w:p>
        </w:tc>
      </w:tr>
      <w:tr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Plan B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124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BEEI</w:t>
            </w:r>
          </w:p>
        </w:tc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84.0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90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8.40</w:t>
            </w:r>
          </w:p>
        </w:tc>
        <w:tc>
          <w:tcPr>
            <w:tcW w:type="dxa" w:w="124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41</w:t>
            </w:r>
          </w:p>
        </w:tc>
        <w:tc>
          <w:tcPr>
            <w:tcW w:type="dxa" w:w="1134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377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Plan C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IJSSE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75.5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7.55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253</w:t>
            </w:r>
          </w:p>
        </w:tc>
      </w:tr>
      <w:tr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Plan D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124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ISI</w:t>
            </w:r>
          </w:p>
        </w:tc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69.0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90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6.90</w:t>
            </w:r>
          </w:p>
        </w:tc>
        <w:tc>
          <w:tcPr>
            <w:tcW w:type="dxa" w:w="124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23</w:t>
            </w:r>
          </w:p>
        </w:tc>
        <w:tc>
          <w:tcPr>
            <w:tcW w:type="dxa" w:w="1134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305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/>
          <w:color w:val="5B6B8C"/>
          <w:sz w:val="16"/>
        </w:rPr>
        <w:t xml:space="preserve">El orden de los planes no se eligió: </w:t>
      </w:r>
      <w:r>
        <w:rPr>
          <w:b/>
          <w:i/>
          <w:color w:val="5B6B8C"/>
          <w:sz w:val="16"/>
        </w:rPr>
        <w:t>se calcula desde la matriz</w:t>
      </w:r>
      <w:r>
        <w:rPr>
          <w:b w:val="0"/>
          <w:i/>
          <w:color w:val="5B6B8C"/>
          <w:sz w:val="16"/>
        </w:rPr>
        <w:t>, como pide la sesión. La segunda mejor puntuada es el Plan B y así sucesivamente.</w:t>
      </w:r>
    </w:p>
    <w:p>
      <w:pPr>
        <w:spacing w:before="160" w:after="60"/>
      </w:pPr>
      <w:r>
        <w:rPr>
          <w:b/>
          <w:color w:val="1F4E79"/>
          <w:sz w:val="23"/>
        </w:rPr>
        <w:t>Por qué IJIES y no las otras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0"/>
        <w:gridCol w:w="5100"/>
      </w:tblGrid>
      <w:tr>
        <w:tc>
          <w:tcPr>
            <w:tcW w:type="dxa" w:w="187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Razón</w:t>
            </w:r>
          </w:p>
        </w:tc>
        <w:tc>
          <w:tcPr>
            <w:tcW w:type="dxa" w:w="788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Evidencia verificada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Encaje temático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880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86 artículos desde 2024</w:t>
            </w:r>
            <w:r>
              <w:rPr>
                <w:b w:val="0"/>
                <w:color w:val="131B2E"/>
                <w:sz w:val="16"/>
              </w:rPr>
              <w:t xml:space="preserve"> sobre detección de intrusiones, de anomalías o seguridad de redes. Ninguna otra se acerca</w:t>
            </w:r>
          </w:p>
        </w:tc>
      </w:tr>
      <w:tr>
        <w:tc>
          <w:tcPr>
            <w:tcW w:type="dxa" w:w="187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Coste más bajo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88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APC de </w:t>
            </w:r>
            <w:r>
              <w:rPr>
                <w:b/>
                <w:color w:val="131B2E"/>
                <w:sz w:val="16"/>
              </w:rPr>
              <w:t>USD 300</w:t>
            </w:r>
            <w:r>
              <w:rPr>
                <w:b w:val="0"/>
                <w:color w:val="131B2E"/>
                <w:sz w:val="16"/>
              </w:rPr>
              <w:t xml:space="preserve"> —USD 400 desde el 1 de octubre de 2026—, por debajo de los USD 415 de BEEI y de los USD 850 de IJSSE e ISI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El ciclo más corto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880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Medido sobre cinco de sus artículos: </w:t>
            </w:r>
            <w:r>
              <w:rPr>
                <w:b/>
                <w:color w:val="131B2E"/>
                <w:sz w:val="16"/>
              </w:rPr>
              <w:t>41 días</w:t>
            </w:r>
            <w:r>
              <w:rPr>
                <w:b w:val="0"/>
                <w:color w:val="131B2E"/>
                <w:sz w:val="16"/>
              </w:rPr>
              <w:t xml:space="preserve"> de mediana a la primera decisión y </w:t>
            </w:r>
            <w:r>
              <w:rPr>
                <w:b/>
                <w:color w:val="131B2E"/>
                <w:sz w:val="16"/>
              </w:rPr>
              <w:t>158 hasta publicar</w:t>
            </w:r>
            <w:r>
              <w:rPr>
                <w:b w:val="0"/>
                <w:color w:val="131B2E"/>
                <w:sz w:val="16"/>
              </w:rPr>
              <w:t>. ISI tarda 250</w:t>
            </w:r>
          </w:p>
        </w:tc>
      </w:tr>
      <w:tr>
        <w:tc>
          <w:tcPr>
            <w:tcW w:type="dxa" w:w="187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Capacidad real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88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556 artículos en 2025</w:t>
            </w:r>
            <w:r>
              <w:rPr>
                <w:b w:val="0"/>
                <w:color w:val="131B2E"/>
                <w:sz w:val="16"/>
              </w:rPr>
              <w:t>, mensual. Publica su tasa de aceptación —17,9 %—, cosa que ninguna otra hace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Legitimidad confirmada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880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Ficha de Scopus consultada el 02/09/2026: </w:t>
            </w:r>
            <w:r>
              <w:rPr>
                <w:b/>
                <w:color w:val="131B2E"/>
                <w:sz w:val="16"/>
              </w:rPr>
              <w:t>«covered by Scopus from 2008 to 2026»</w:t>
            </w:r>
            <w:r>
              <w:rPr>
                <w:b w:val="0"/>
                <w:color w:val="131B2E"/>
                <w:sz w:val="16"/>
              </w:rPr>
              <w:t>, CiteScore 3,3, Q2 en dos categorías, SJR 0,292. Fuera de la lista de depredadoras</w:t>
            </w:r>
          </w:p>
        </w:tc>
      </w:tr>
      <w:tr>
        <w:tc>
          <w:tcPr>
            <w:tcW w:type="dxa" w:w="187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Coste cubierto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88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El </w:t>
            </w:r>
            <w:r>
              <w:rPr>
                <w:b/>
                <w:color w:val="131B2E"/>
                <w:sz w:val="16"/>
              </w:rPr>
              <w:t>APC lo asume la Universidad Peruana Unión</w:t>
            </w:r>
            <w:r>
              <w:rPr>
                <w:b w:val="0"/>
                <w:color w:val="131B2E"/>
                <w:sz w:val="16"/>
              </w:rPr>
              <w:t>; enviando antes del 1 de octubre de 2026 son USD 300 en vez de USD 400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F4E79"/>
          <w:sz w:val="23"/>
        </w:rPr>
        <w:t>Lo que juega en contra, dicho por delante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0"/>
        <w:gridCol w:w="5100"/>
      </w:tblGrid>
      <w:tr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Reserva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Acceso abierto en bronce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Sus artículos se leen gratis pero </w:t>
            </w:r>
            <w:r>
              <w:rPr>
                <w:b/>
                <w:color w:val="131B2E"/>
                <w:sz w:val="16"/>
              </w:rPr>
              <w:t>sin licencia declarada</w:t>
            </w:r>
            <w:r>
              <w:rPr>
                <w:b w:val="0"/>
                <w:color w:val="131B2E"/>
                <w:sz w:val="16"/>
              </w:rPr>
              <w:t xml:space="preserve"> y la revista no figura en DOAJ. BEEI, el Plan B, es diamante con CC BY-SA: mejor en esto</w:t>
            </w:r>
          </w:p>
        </w:tc>
      </w:tr>
      <w:tr>
        <w:tc>
          <w:tcPr>
            <w:tcW w:type="dxa" w:w="238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Sin h5-index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37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No figura en Google Scholar Metrics</w:t>
            </w:r>
            <w:r>
              <w:rPr>
                <w:b w:val="0"/>
                <w:color w:val="131B2E"/>
                <w:sz w:val="16"/>
              </w:rPr>
              <w:t xml:space="preserve"> —comprobado con tres consultas—. BEEI tiene 41, ISI 23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Cesión de copyright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Exige transferir los derechos al editor al aceptar</w:t>
            </w:r>
          </w:p>
        </w:tc>
      </w:tr>
      <w:tr>
        <w:tc>
          <w:tcPr>
            <w:tcW w:type="dxa" w:w="238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CiteScore a la baja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737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El CiteScoreTracker 2026 va en </w:t>
            </w:r>
            <w:r>
              <w:rPr>
                <w:b/>
                <w:color w:val="131B2E"/>
                <w:sz w:val="16"/>
              </w:rPr>
              <w:t>2,8</w:t>
            </w:r>
            <w:r>
              <w:rPr>
                <w:b w:val="0"/>
                <w:color w:val="131B2E"/>
                <w:sz w:val="16"/>
              </w:rPr>
              <w:t xml:space="preserve"> frente al 3,3 de 2025. Hay que vigilarlo: si cierra por debajo de 3,0 puede perder el Q2 en una categoría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  <w:t xml:space="preserve">Ninguna invalida la elección: encaje, coste y plazo pesan el 65 % de la matriz y en los tres encabeza. Se declaran porque </w:t>
      </w:r>
      <w:r>
        <w:rPr>
          <w:b/>
          <w:i w:val="0"/>
          <w:color w:val="131B2E"/>
          <w:sz w:val="17"/>
        </w:rPr>
        <w:t>una decisión defendible no es la que no tiene puntos débiles, sino la que los tiene medidos</w:t>
      </w:r>
      <w:r>
        <w:rPr>
          <w:b w:val="0"/>
          <w:i w:val="0"/>
          <w:color w:val="131B2E"/>
          <w:sz w:val="17"/>
        </w:rPr>
        <w:t>.</w:t>
      </w:r>
    </w:p>
    <w:p>
      <w:pPr>
        <w:spacing w:before="160" w:after="60"/>
      </w:pPr>
      <w:r>
        <w:rPr>
          <w:b/>
          <w:color w:val="1F4E79"/>
          <w:sz w:val="23"/>
        </w:rPr>
        <w:t>Plan de respaldo</w:t>
      </w:r>
    </w:p>
    <w:p>
      <w:pPr>
        <w:spacing w:after="80"/>
        <w:jc w:val="both"/>
      </w:pPr>
      <w:r>
        <w:rPr>
          <w:b w:val="0"/>
          <w:i w:val="0"/>
          <w:color w:val="131B2E"/>
          <w:sz w:val="18"/>
        </w:rPr>
        <w:t xml:space="preserve">Ante un rechazo, el manuscrito pasa a </w:t>
      </w:r>
      <w:r>
        <w:rPr>
          <w:b/>
          <w:i w:val="0"/>
          <w:color w:val="131B2E"/>
          <w:sz w:val="18"/>
        </w:rPr>
        <w:t>BEEI</w:t>
      </w:r>
      <w:r>
        <w:rPr>
          <w:b w:val="0"/>
          <w:i w:val="0"/>
          <w:color w:val="131B2E"/>
          <w:sz w:val="18"/>
        </w:rPr>
        <w:t xml:space="preserve"> (84.0) y luego a </w:t>
      </w:r>
      <w:r>
        <w:rPr>
          <w:b/>
          <w:i w:val="0"/>
          <w:color w:val="131B2E"/>
          <w:sz w:val="18"/>
        </w:rPr>
        <w:t>IJSSE</w:t>
      </w:r>
      <w:r>
        <w:rPr>
          <w:b w:val="0"/>
          <w:i w:val="0"/>
          <w:color w:val="131B2E"/>
          <w:sz w:val="18"/>
        </w:rPr>
        <w:t xml:space="preserve"> (75.5), sin envío simultáneo. La adaptación es de formato: la estructura del mapeo de 21 artículos sirve para las cuatro.</w:t>
      </w:r>
    </w:p>
    <w:p>
      <w:pPr>
        <w:spacing w:after="80"/>
        <w:jc w:val="both"/>
      </w:pPr>
      <w:r>
        <w:rPr>
          <w:b w:val="0"/>
          <w:i w:val="0"/>
          <w:color w:val="5B6B8C"/>
          <w:sz w:val="17"/>
        </w:rPr>
      </w:r>
      <w:r>
        <w:rPr>
          <w:b/>
          <w:i w:val="0"/>
          <w:color w:val="5B6B8C"/>
          <w:sz w:val="17"/>
        </w:rPr>
        <w:t>Verificación abierta:</w:t>
      </w:r>
      <w:r>
        <w:rPr>
          <w:b w:val="0"/>
          <w:i w:val="0"/>
          <w:color w:val="5B6B8C"/>
          <w:sz w:val="17"/>
        </w:rPr>
        <w:t xml:space="preserve"> confirmar por escrito con la coordinación si la lista de control inhabilita una revista o solo registra lo publicado. De eso depende que los Planes B y C sigan disponibles.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200"/>
      </w:tabs>
    </w:pPr>
    <w:r/>
    <w:r>
      <w:rPr>
        <w:color w:val="5B6B8C"/>
        <w:sz w:val="14"/>
      </w:rPr>
      <w:t>Justificación de la revista objetivo · Salazar Tocas &amp; Sauñe Fernandez</w:t>
      <w:tab/>
    </w:r>
    <w:r>
      <w:rPr>
        <w:color w:val="5B6B8C"/>
        <w:sz w:val="14"/>
      </w:rPr>
      <w:t xml:space="preserve">Página </w:t>
    </w:r>
    <w:r>
      <w:rPr>
        <w:color w:val="5B6B8C"/>
        <w:sz w:val="14"/>
      </w:rPr>
      <w:fldChar w:fldCharType="begin"/>
      <w:instrText xml:space="preserve"> PAGE </w:instrText>
      <w:fldChar w:fldCharType="end"/>
    </w:r>
    <w:r>
      <w:rPr>
        <w:color w:val="5B6B8C"/>
        <w:sz w:val="14"/>
      </w:rPr>
      <w:t xml:space="preserve"> de </w:t>
    </w:r>
    <w:r>
      <w:rPr>
        <w:color w:val="5B6B8C"/>
        <w:sz w:val="14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BFBFBF" w:space="3"/>
      </w:pBdr>
    </w:pPr>
    <w:r/>
    <w:r>
      <w:rPr>
        <w:i/>
        <w:color w:val="5B6B8C"/>
        <w:sz w:val="14"/>
      </w:rPr>
      <w:t>Investigación V · Sesión 04 · UPeU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Justificación de la revista objetivo</dc:title>
  <dc:subject>Por qué IJIES y no las otras candidatas evaluadas</dc:subject>
  <dc:creator>Rubén Mark Salazar Tocas; Uziel Elias Sauñe Fernandez</dc:creator>
  <cp:keywords>detección de anomalías; seguridad de redes; aprendizaje no supervisado; OCSVM</cp:keywords>
  <dc:description>Documento generado por script desde los artefactos del proyecto; ninguna cifra se transcribe a mano.</dc:description>
  <cp:lastModifiedBy>Rubén Mark Salazar Tocas; Uziel Elias Sauñe Fernandez</cp:lastModifiedBy>
  <cp:revision>1</cp:revision>
  <dcterms:created xsi:type="dcterms:W3CDTF">2013-12-23T23:15:00Z</dcterms:created>
  <dcterms:modified xsi:type="dcterms:W3CDTF">2013-12-23T23:15:00Z</dcterms:modified>
  <cp:category>Investigación V · UPeU</cp:category>
</cp:coreProperties>
</file>