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  <w:br/>
        <w:t>Asesores: Ing. Nemias Saboya Ríos · Ing. Fernando Manuel Asin Gómez</w:t>
      </w:r>
    </w:p>
    <w:p>
      <w:pPr>
        <w:spacing w:after="140"/>
        <w:jc w:val="center"/>
      </w:pPr>
      <w:r>
        <w:rPr>
          <w:b w:val="0"/>
          <w:i w:val="0"/>
          <w:color w:val="5B6B8C"/>
          <w:sz w:val="16"/>
        </w:rPr>
      </w:r>
      <w:r>
        <w:rPr>
          <w:b/>
          <w:i w:val="0"/>
          <w:color w:val="5B6B8C"/>
          <w:sz w:val="16"/>
        </w:rPr>
        <w:t>Entregable de la Sesión 01.</w:t>
      </w:r>
      <w:r>
        <w:rPr>
          <w:b w:val="0"/>
          <w:i w:val="0"/>
          <w:color w:val="5B6B8C"/>
          <w:sz w:val="16"/>
        </w:rPr>
        <w:t xml:space="preserve"> Este documento es el informe de resultados y evaluación crítica; el plan prospectivo de la Sesión 02 está en `07-plan-de-validacion/plan-de-validacion-de-resultados.md`.</w:t>
      </w:r>
    </w:p>
    <w:p>
      <w:pPr>
        <w:spacing w:before="220" w:after="80"/>
      </w:pPr>
      <w:r>
        <w:rPr>
          <w:b/>
          <w:color w:val="1F4E79"/>
          <w:sz w:val="25"/>
        </w:rPr>
        <w:t>1 · 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 xml:space="preserve">, validado sobre tráfico real de laboratorio. Toda cifra procede de artefactos verificables; ninguna se transcribe a mano. La evaluación se ordena por los </w:t>
      </w:r>
      <w:r>
        <w:rPr>
          <w:b/>
          <w:i w:val="0"/>
          <w:color w:val="131B2E"/>
          <w:sz w:val="18"/>
        </w:rPr>
        <w:t>criterios de validez y confiabilidad</w:t>
      </w:r>
      <w:r>
        <w:rPr>
          <w:b w:val="0"/>
          <w:i w:val="0"/>
          <w:color w:val="131B2E"/>
          <w:sz w:val="18"/>
        </w:rPr>
        <w:t xml:space="preserve"> trabajados en la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de la sesión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abordó en este proyecto</w:t>
            </w:r>
          </w:p>
        </w:tc>
        <w:tc>
          <w:tcPr>
            <w:tcW w:type="dxa" w:w="238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interna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Partición </w:t>
            </w:r>
            <w:r>
              <w:rPr>
                <w:b/>
                <w:color w:val="131B2E"/>
                <w:sz w:val="16"/>
              </w:rPr>
              <w:t>disjunta por episodio</w:t>
            </w:r>
            <w:r>
              <w:rPr>
                <w:b w:val="0"/>
                <w:color w:val="131B2E"/>
                <w:sz w:val="16"/>
              </w:rPr>
              <w:t xml:space="preserve"> (`no_episode_split=true`); umbral fijado solo en validación (α = 0,05); causalidad de las variables probada con test unitario. Una </w:t>
            </w:r>
            <w:r>
              <w:rPr>
                <w:b/>
                <w:color w:val="131B2E"/>
                <w:sz w:val="16"/>
              </w:rPr>
              <w:t>fuga real (*data leakage*) se detectó, corrigió y marcó «no debe citarse»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externa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Validación cruzada de 5 pliegues agrupados por episodio y validación operativa en despliegue real (58 corridas)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Parcial</w:t>
            </w:r>
            <w:r>
              <w:rPr>
                <w:b w:val="0"/>
                <w:color w:val="131B2E"/>
                <w:sz w:val="16"/>
              </w:rPr>
              <w:t>: no hay jornada externa ni segundo dataset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Confiabilidad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Del sistema (determinismo)</w:t>
            </w:r>
            <w:r>
              <w:rPr>
                <w:b w:val="0"/>
                <w:color w:val="131B2E"/>
                <w:sz w:val="16"/>
              </w:rPr>
              <w:t xml:space="preserve">: 10 ajustes repetidos del pipeline produjeron el mismo SHA-256 y el mismo umbral. </w:t>
            </w:r>
            <w:r>
              <w:rPr>
                <w:b/>
                <w:color w:val="131B2E"/>
                <w:sz w:val="16"/>
              </w:rPr>
              <w:t>Test-retest</w:t>
            </w:r>
            <w:r>
              <w:rPr>
                <w:b w:val="0"/>
                <w:color w:val="131B2E"/>
                <w:sz w:val="16"/>
              </w:rPr>
              <w:t xml:space="preserve">: dos pases operativos equivalentes. </w:t>
            </w:r>
            <w:r>
              <w:rPr>
                <w:b/>
                <w:color w:val="131B2E"/>
                <w:sz w:val="16"/>
              </w:rPr>
              <w:t>Estabilidad del umbral</w:t>
            </w:r>
            <w:r>
              <w:rPr>
                <w:b w:val="0"/>
                <w:color w:val="131B2E"/>
                <w:sz w:val="16"/>
              </w:rPr>
              <w:t>: bootstrap por episodio, CV 4,10 %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de constructo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Diccionario de las 28 variables con fórmula, ventana, fuente y denominador, generado desde el extractor congelado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α de Cronbach / Kappa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No aplican al producto</w:t>
            </w:r>
            <w:r>
              <w:rPr>
                <w:b w:val="0"/>
                <w:color w:val="131B2E"/>
                <w:sz w:val="16"/>
              </w:rPr>
              <w:t>: no hay ítems de escala que correlacionar ni jueces clasificando. Aplicarán al instrumento SUS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Justificado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ISO/IEC 25010 — características evaluadas con evidencia:</w:t>
      </w:r>
      <w:r>
        <w:rPr>
          <w:b w:val="0"/>
          <w:i w:val="0"/>
          <w:color w:val="131B2E"/>
          <w:sz w:val="17"/>
        </w:rPr>
        <w:t xml:space="preserve"> *adecuación funcional* (detecta y bloquea, 88,8 % de detección), *eficiencia de desempeño* (bloqueo en mediana de 8,0 s), *confiabilidad* (cero caídas en 58 corridas, determinismo verificado) y *seguridad* (trazabilidad por SHA-256). </w:t>
      </w:r>
      <w:r>
        <w:rPr>
          <w:b/>
          <w:i w:val="0"/>
          <w:color w:val="131B2E"/>
          <w:sz w:val="17"/>
        </w:rPr>
        <w:t>Sin evidencia todavía</w:t>
      </w:r>
      <w:r>
        <w:rPr>
          <w:b w:val="0"/>
          <w:i w:val="0"/>
          <w:color w:val="131B2E"/>
          <w:sz w:val="17"/>
        </w:rPr>
        <w:t>: *usabilidad* —el SUS está pendiente—, *compatibilidad*, *mantenibilidad* y *portabilidad*.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 medido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Valor obtenido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Capacidad discriminante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ROC-AUC 0,974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Detección de ataques genuinos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88,8 %</w:t>
            </w:r>
            <w:r>
              <w:rPr>
                <w:b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Respuesta en tiempo real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color w:val="131B2E"/>
                <w:sz w:val="16"/>
              </w:rPr>
              <w:t>8,0 s</w:t>
            </w:r>
            <w:r>
              <w:rPr>
                <w:b w:val="0"/>
                <w:color w:val="131B2E"/>
                <w:sz w:val="16"/>
              </w:rPr>
              <w:t>; rango 6,1–13,7 s (n = 8)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58 corridas con el motor activo; 8 bloqueos con tiempo observable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Disponibilidad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Cero caídas registradas</w:t>
            </w:r>
            <w:r>
              <w:rPr>
                <w:b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Aporte de las variables multicapa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De </w:t>
            </w:r>
            <w:r>
              <w:rPr>
                <w:b/>
                <w:color w:val="131B2E"/>
                <w:sz w:val="16"/>
              </w:rPr>
              <w:t>66,5 % a 88,8 %</w:t>
            </w:r>
            <w:r>
              <w:rPr>
                <w:b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Superioridad del modelo elegido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Las </w:t>
            </w:r>
            <w:r>
              <w:rPr>
                <w:b/>
                <w:color w:val="131B2E"/>
                <w:sz w:val="16"/>
              </w:rPr>
              <w:t>6 comparaciones</w:t>
            </w:r>
            <w:r>
              <w:rPr>
                <w:b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Reproducibilidad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los 7 modelos</w:t>
            </w:r>
            <w:r>
              <w:rPr>
                <w:b w:val="0"/>
                <w:color w:val="131B2E"/>
                <w:sz w:val="16"/>
              </w:rPr>
              <w:t xml:space="preserve"> publicados y verificables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456000" cy="271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-curva-r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71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1. Curva ROC del modelo congelado. El AUC de 0,974 se calculó en esta evaluación: el trabajo original nunca lo computó.</w:t>
      </w:r>
    </w:p>
    <w:p>
      <w:pPr>
        <w:spacing w:before="220" w:after="80"/>
      </w:pPr>
      <w:r>
        <w:rPr>
          <w:b/>
          <w:color w:val="1F4E79"/>
          <w:sz w:val="25"/>
        </w:rPr>
        <w:t>2 ·  Qué está faltando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Las debilidades se ordenan por gravedad y </w:t>
      </w:r>
      <w:r>
        <w:rPr>
          <w:b/>
          <w:i w:val="0"/>
          <w:color w:val="131B2E"/>
          <w:sz w:val="18"/>
        </w:rPr>
        <w:t>todas están medidas</w:t>
      </w:r>
      <w:r>
        <w:rPr>
          <w:b w:val="0"/>
          <w:i w:val="0"/>
          <w:color w:val="131B2E"/>
          <w:sz w:val="18"/>
        </w:rPr>
        <w:t>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Debilidad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falso positivo de laboratorio no se sostiene en operación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4,71 % [2,8–7,9] frente a 25,81 % (pase 1, 16/62) y 22,97 % (pase 2, 17/74). Son intervalos descriptivos por ventana: las ventanas comparten episodio e historia. Una transferencia legítima de 200 Mbit/s bloqueó a un cliente real 120 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modelo se eligió observando el conjunto de prueba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El manifiesto designaba otro modelo como conclusión y a este como comparador. El 88,3 % es el máximo sobre 7 candidatos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Ninguna validación con usuarios reales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No se midió la experiencia de uso del panel ni se aplicó instrumento alguno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 partición mide repetición, no generalización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Los 44 perfiles aparecen en las tres particiones; no existe jornada de holdout externa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interna, no externa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Hay 5 pliegues agrupados por episodio normal y bootstrap por episodio (B = 1 000; CV del umbral 4,10 %), pero se reutilizan las mismas anomalías y no existe jornada externa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Las 8 variables L7 nuevas no aportan detección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 ablación las midió: p = 1,000 y </w:t>
            </w:r>
            <w:r>
              <w:rPr>
                <w:b/>
                <w:color w:val="131B2E"/>
                <w:sz w:val="16"/>
              </w:rPr>
              <w:t>5 falsos positivos adicionales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0513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51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2. El hallazgo más importante: el error sobre tráfico legítimo medido en laboratorio no se reproduce en operación real.</w:t>
      </w:r>
    </w:p>
    <w:p>
      <w:pPr>
        <w:spacing w:before="220" w:after="80"/>
      </w:pPr>
      <w:r>
        <w:rPr>
          <w:b/>
          <w:color w:val="1F4E79"/>
          <w:sz w:val="25"/>
        </w:rPr>
        <w:t>3 ·  Cómo se está abordando lo que falta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Ya resuelto</w:t>
      </w:r>
      <w:r>
        <w:rPr>
          <w:b w:val="0"/>
          <w:i w:val="0"/>
          <w:color w:val="131B2E"/>
          <w:sz w:val="18"/>
        </w:rPr>
        <w:t>, sin capturar datos nuevos ni reentrenar el modelo congelado: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48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Acción ejecutada</w:t>
            </w:r>
          </w:p>
        </w:tc>
        <w:tc>
          <w:tcPr>
            <w:tcW w:type="dxa" w:w="442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cerró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Intervalos de Wilson en toda proporción y </w:t>
            </w:r>
            <w:r>
              <w:rPr>
                <w:b/>
                <w:color w:val="131B2E"/>
                <w:sz w:val="16"/>
              </w:rPr>
              <w:t>McNemar con corrección de Holm</w:t>
            </w:r>
            <w:r>
              <w:rPr>
                <w:b w:val="0"/>
                <w:color w:val="131B2E"/>
                <w:sz w:val="16"/>
              </w:rPr>
              <w:t xml:space="preserve"> sobre 21 comparaciones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medidas de incertidumbre y de pruebas de significancia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Ablación por capas y comparación 14 vs 28</w:t>
            </w:r>
            <w:r>
              <w:rPr>
                <w:b w:val="0"/>
                <w:color w:val="131B2E"/>
                <w:sz w:val="16"/>
              </w:rPr>
              <w:t>, con la configuración completa reproduciendo el modelo congelado bit a bit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jurado, antes sin ejecutar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Diccionario científico de las 28 variables</w:t>
            </w:r>
            <w:r>
              <w:rPr>
                <w:b w:val="0"/>
                <w:color w:val="131B2E"/>
                <w:sz w:val="16"/>
              </w:rPr>
              <w:t>, generado desde el extractor congelado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7 modelos publicados</w:t>
            </w:r>
            <w:r>
              <w:rPr>
                <w:b w:val="0"/>
                <w:color w:val="131B2E"/>
                <w:sz w:val="16"/>
              </w:rPr>
              <w:t xml:space="preserve"> con checksums y licencias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Imposibilidad de replicar desde un clon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*Datasheet*, *model card* y *system card*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documentación canónica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Declaración explícita de la selección posterior</w:t>
            </w:r>
            <w:r>
              <w:rPr>
                <w:b w:val="0"/>
                <w:color w:val="131B2E"/>
                <w:sz w:val="16"/>
              </w:rPr>
              <w:t xml:space="preserve"> del modelo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Objeción metodológica principal, ahora declarada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cruzada agrupada y bootstrap por episodio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Variación interna del modelo y del umbral; no sustituyen una evaluación externa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La fecha que ordena el cronograma es el 30 de septiembre de 2026:</w:t>
      </w:r>
      <w:r>
        <w:rPr>
          <w:b w:val="0"/>
          <w:i w:val="0"/>
          <w:color w:val="131B2E"/>
          <w:sz w:val="18"/>
        </w:rPr>
        <w:t xml:space="preserve"> IJIES sube su APC de USD 300 a USD 400 el 1 de octubre, y el cargo lo asume la Universidad Peruana Unión. Con la mediana medida de la revista —41 días a la primera decisión, 158 hasta publicar—, un envío el 28 de septiembre proyecta decisión hacia el 8 de noviembre de 2026 y publicación hacia marzo de 2027. Todo lo que alimenta la sección de resultados se cierra antes de esa fecha; lo demás va después.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Pendiente</w:t>
            </w:r>
          </w:p>
        </w:tc>
        <w:tc>
          <w:tcPr>
            <w:tcW w:type="dxa" w:w="351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aborda</w:t>
            </w:r>
          </w:p>
        </w:tc>
        <w:tc>
          <w:tcPr>
            <w:tcW w:type="dxa" w:w="164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Declarar la selección posterior en la tesis</w:t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Párrafo en metodología, enlazado a la *model card*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vie 4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con usuarios (SUS)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Sesión de 2 h con 5–8 evaluadores; instrumento ya preparado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mié 9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Juicio experto (3 evaluadores)</w:t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Rúbrica de pertinencia, ya con los resultados del SUS a la vista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asesores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mié 23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Escenarios legítimos faltantes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Campaña F1: SSH, SCP/SFTP, backup y actualizaciones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Sauñe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sáb 19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Envío del artículo a IJIES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Manuscrito en `IJIES_Format.docx`, 8 a 10 páginas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lun 28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Recalibrar con tráfico pesado y repetir F6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Reentrenar con `iperf-tcp 200M` como normalidad; repetir las 29 corridas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sáb 10 oct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*Holdout* temporal externo</w:t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Campaña completa en fecha distinta, sin reutilizar episodios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sáb 24 oct</w:t>
            </w:r>
            <w:r>
              <w:rPr>
                <w:b w:val="0"/>
                <w:color w:val="131B2E"/>
                <w:sz w:val="16"/>
              </w:rPr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/>
          <w:color w:val="131B2E"/>
          <w:sz w:val="18"/>
        </w:rPr>
      </w:r>
      <w:r>
        <w:rPr>
          <w:b/>
          <w:i/>
          <w:color w:val="131B2E"/>
          <w:sz w:val="18"/>
        </w:rPr>
        <w:t>El SUS va primero porque es el único cero absoluto que queda</w:t>
      </w:r>
      <w:r>
        <w:rPr>
          <w:b w:val="0"/>
          <w:i/>
          <w:color w:val="131B2E"/>
          <w:sz w:val="18"/>
        </w:rPr>
        <w:t>: cero en la ficha de auditoría, cero en el eje de pertinencia y `D-18` en el registro. Cuesta dos horas y sube la ficha de 82,4 % a 88,2 %. El juicio experto va después a propósito: los expertos juzgan mejor con los resultados de los usuarios delante.</w:t>
      </w:r>
    </w:p>
    <w:p>
      <w:pPr>
        <w:spacing w:after="100"/>
        <w:jc w:val="both"/>
      </w:pPr>
      <w:r>
        <w:rPr>
          <w:b w:val="0"/>
          <w:i/>
          <w:color w:val="131B2E"/>
          <w:sz w:val="18"/>
        </w:rPr>
      </w:r>
      <w:r>
        <w:rPr>
          <w:b/>
          <w:i/>
          <w:color w:val="131B2E"/>
          <w:sz w:val="18"/>
        </w:rPr>
        <w:t>El artículo no espera a los tres últimos.</w:t>
      </w:r>
      <w:r>
        <w:rPr>
          <w:b w:val="0"/>
          <w:i/>
          <w:color w:val="131B2E"/>
          <w:sz w:val="18"/>
        </w:rPr>
        <w:t xml:space="preserve"> La sección de resultados se escribe con lo que ya está bloqueado —modelo congelado, evaluación de un solo paso y 58 corridas de F6—: ese resultado está completo y no va a cambiar. Si la recalibración se retrasa, el artículo sale igual con la limitación declarada, que es como debe salir de todos modos. </w:t>
      </w:r>
      <w:r>
        <w:rPr>
          <w:b/>
          <w:i/>
          <w:color w:val="131B2E"/>
          <w:sz w:val="18"/>
        </w:rPr>
        <w:t>La fecha de sustentación no la fija el equipo</w:t>
      </w:r>
      <w:r>
        <w:rPr>
          <w:b w:val="0"/>
          <w:i/>
          <w:color w:val="131B2E"/>
          <w:sz w:val="18"/>
        </w:rPr>
        <w:t>, pero ningún pendiente de esta lista la condiciona más allá del 24 de octubre de 2026.</w:t>
      </w:r>
    </w:p>
    <w:p>
      <w:pPr>
        <w:spacing w:before="220" w:after="80"/>
      </w:pPr>
      <w:r>
        <w:rPr>
          <w:b/>
          <w:color w:val="1F4E79"/>
          <w:sz w:val="25"/>
        </w:rPr>
        <w:t>4 ·  Amenazas a la validez (*Threats to Validity*)</w:t>
      </w:r>
    </w:p>
    <w:p>
      <w:pPr>
        <w:spacing w:after="100"/>
        <w:jc w:val="both"/>
      </w:pPr>
      <w:r>
        <w:rPr>
          <w:b w:val="0"/>
          <w:i w:val="0"/>
          <w:color w:val="131B2E"/>
          <w:sz w:val="17"/>
        </w:rPr>
        <w:t xml:space="preserve">La sesión advierte que esta sección es </w:t>
      </w:r>
      <w:r>
        <w:rPr>
          <w:b/>
          <w:i w:val="0"/>
          <w:color w:val="131B2E"/>
          <w:sz w:val="17"/>
        </w:rPr>
        <w:t>obligatoria en las revistas indexadas de Ingeniería de Software</w:t>
      </w:r>
      <w:r>
        <w:rPr>
          <w:b w:val="0"/>
          <w:i w:val="0"/>
          <w:color w:val="131B2E"/>
          <w:sz w:val="17"/>
        </w:rPr>
        <w:t>. Se declara aquí y se trasladará al artículo.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Tipo de amenaza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Amenaza concreta en este trabajo</w:t>
            </w:r>
          </w:p>
        </w:tc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mitiga o declara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interna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El modelo se eligió observando el conjunto de prueba: </w:t>
            </w:r>
            <w:r>
              <w:rPr>
                <w:b/>
                <w:color w:val="131B2E"/>
                <w:sz w:val="16"/>
              </w:rPr>
              <w:t>selección posterior</w:t>
            </w:r>
            <w:r>
              <w:rPr>
                <w:b w:val="0"/>
                <w:color w:val="131B2E"/>
                <w:sz w:val="16"/>
              </w:rPr>
              <w:t>, la misma familia de error que el HARKing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Declarada en la *model card* antes de cualquier métrica. La corrección exige evaluación nueva y reservada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externa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Entorno artificial de laboratorio, un solo dataset y </w:t>
            </w:r>
            <w:r>
              <w:rPr>
                <w:b/>
                <w:color w:val="131B2E"/>
                <w:sz w:val="16"/>
              </w:rPr>
              <w:t>sin jornada de holdout externa</w:t>
            </w:r>
            <w:r>
              <w:rPr>
                <w:b w:val="0"/>
                <w:color w:val="131B2E"/>
                <w:sz w:val="16"/>
              </w:rPr>
              <w:t>: los 44 perfiles aparecen en las tres particiones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Se recolecta jornada nueva el 24 de octubre. Hasta entonces </w:t>
            </w:r>
            <w:r>
              <w:rPr>
                <w:b/>
                <w:color w:val="131B2E"/>
                <w:sz w:val="16"/>
              </w:rPr>
              <w:t>no se afirma generalización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de conclusión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Los intervalos por ventana son </w:t>
            </w:r>
            <w:r>
              <w:rPr>
                <w:b/>
                <w:color w:val="131B2E"/>
                <w:sz w:val="16"/>
              </w:rPr>
              <w:t>descriptivos</w:t>
            </w:r>
            <w:r>
              <w:rPr>
                <w:b w:val="0"/>
                <w:color w:val="131B2E"/>
                <w:sz w:val="16"/>
              </w:rPr>
              <w:t>: las ventanas de un episodio comparten historia y no son observaciones independientes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 reportan como descriptivos, no como prueba inferencial; la comparación entre modelos usa McNemar con corrección de Holm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de constructo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*«¿el FPR de laboratorio mide el FPR de operación?»* — </w:t>
            </w:r>
            <w:r>
              <w:rPr>
                <w:b/>
                <w:color w:val="131B2E"/>
                <w:sz w:val="16"/>
              </w:rPr>
              <w:t>la medición dice que no</w:t>
            </w:r>
            <w:r>
              <w:rPr>
                <w:b w:val="0"/>
                <w:color w:val="131B2E"/>
                <w:sz w:val="16"/>
              </w:rPr>
              <w:t>: 4,71 % frente a 25,81 % (pase 1) y 22,97 % (pase 2)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 reportan ambos por separado y se declara la brecha como el hallazgo principal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5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detallado, con las 11 figuras y la trazabilidad de cada cifra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Ablación por capas y comparación 14 vs. 28 variables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estadística entre los siete modelos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del sistema desplegado (F6) — </w:t>
      </w:r>
      <w:hyperlink r:id="rId15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Las 11 gráficas, generadas por script desde los datos reales — </w:t>
      </w:r>
      <w:hyperlink r:id="rId16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7"/>
      <w:headerReference w:type="default" r:id="rId18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4-modelado/07-ablacion-multicapa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5" Type="http://schemas.openxmlformats.org/officeDocument/2006/relationships/hyperlink" Target="https://github.com/marksato13/VF-Sistema-Open-Source-para-la-Deteccion-Temprana-de-Comportamientos-Anomalos-en-Redes-de-Datos/blob/main/docs/fase07-validacion-final/02-resultados-f6.md" TargetMode="External"/><Relationship Id="rId16" Type="http://schemas.openxmlformats.org/officeDocument/2006/relationships/hyperlink" Target="https://github.com/marksato13/VF-Sistema-Open-Source-para-la-Deteccion-Temprana-de-Comportamientos-Anomalos-en-Redes-de-Datos/blob/main/docs/entregables/graficas" TargetMode="External"/><Relationship Id="rId17" Type="http://schemas.openxmlformats.org/officeDocument/2006/relationships/footer" Target="footer1.xml"/><Relationship Id="rId1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