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1F4E79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 w:val="0"/>
          <w:i w:val="0"/>
          <w:color w:val="5B6B8C"/>
          <w:sz w:val="16"/>
        </w:rPr>
      </w:r>
      <w:r>
        <w:rPr>
          <w:b/>
          <w:i w:val="0"/>
          <w:color w:val="5B6B8C"/>
          <w:sz w:val="16"/>
        </w:rPr>
        <w:t>Entregable de la Sesión 02.</w:t>
      </w:r>
      <w:r>
        <w:rPr>
          <w:b w:val="0"/>
          <w:i w:val="0"/>
          <w:color w:val="5B6B8C"/>
          <w:sz w:val="16"/>
        </w:rPr>
        <w:t xml:space="preserve"> Plan prospectivo; el informe de validaciones ya ejecutadas es `02-validacion-y-confiabilidad/`.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 ni jueces clasificando, así que </w:t>
      </w:r>
      <w:r>
        <w:rPr>
          <w:b/>
          <w:i w:val="0"/>
          <w:color w:val="131B2E"/>
          <w:sz w:val="18"/>
        </w:rPr>
        <w:t>ni el Alfa de Cronbach ni el Kappa de Cohen aplican</w:t>
      </w:r>
      <w:r>
        <w:rPr>
          <w:b w:val="0"/>
          <w:i w:val="0"/>
          <w:color w:val="131B2E"/>
          <w:sz w:val="18"/>
        </w:rPr>
        <w:t xml:space="preserve"> al producto: el primero medirá la consistencia interna del instrumento SUS cuando se aplique, y el segundo solo tendría sentido si hubiera etiquetado manual por varios jueces. La replicabilidad se plantea sobre los </w:t>
      </w:r>
      <w:r>
        <w:rPr>
          <w:b/>
          <w:i w:val="0"/>
          <w:color w:val="131B2E"/>
          <w:sz w:val="18"/>
        </w:rPr>
        <w:t>principios FAIR</w:t>
      </w:r>
      <w:r>
        <w:rPr>
          <w:b w:val="0"/>
          <w:i w:val="0"/>
          <w:color w:val="131B2E"/>
          <w:sz w:val="18"/>
        </w:rPr>
        <w:t xml:space="preserve"> —datos y código localizables, accesibles, interoperables y reutilizables—.</w:t>
      </w:r>
    </w:p>
    <w:p>
      <w:pPr>
        <w:spacing w:before="200" w:after="80"/>
      </w:pPr>
      <w:r>
        <w:rPr>
          <w:b/>
          <w:color w:val="1F4E79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Intervalo de Wilson 95 %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reporta </w:t>
            </w:r>
            <w:r>
              <w:rPr>
                <w:b/>
                <w:color w:val="131B2E"/>
                <w:sz w:val="16"/>
              </w:rPr>
              <w:t>siempre</w:t>
            </w:r>
            <w:r>
              <w:rPr>
                <w:b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McNemar exacto + Holm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 &lt; 0,05 tras corregir.</w:t>
            </w:r>
            <w:r>
              <w:rPr>
                <w:b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color w:val="131B2E"/>
                <w:sz w:val="16"/>
              </w:rPr>
              <w:t>dentro del intervalo de Wilson</w:t>
            </w:r>
            <w:r>
              <w:rPr>
                <w:b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Bootstrap por episodio</w:t>
            </w:r>
            <w:r>
              <w:rPr>
                <w:b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Coeficiente de variación &lt; 5 %</w:t>
            </w:r>
            <w:r>
              <w:rPr>
                <w:b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Determinismo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SHA-256 idéntico</w:t>
            </w:r>
            <w:r>
              <w:rPr>
                <w:b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1F4E79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GitHub, licencia </w:t>
            </w:r>
            <w:r>
              <w:rPr>
                <w:b/>
                <w:color w:val="131B2E"/>
                <w:sz w:val="16"/>
              </w:rPr>
              <w:t>MIT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 candidatos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color w:val="131B2E"/>
                <w:sz w:val="16"/>
              </w:rPr>
              <w:t>CC BY 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Depósito citable con DOI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Semillas y determinismo como protocolo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1F4E79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Prueba de usabilidad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color w:val="131B2E"/>
                <w:sz w:val="16"/>
              </w:rPr>
              <w:t>5–8 evaluadores</w:t>
            </w:r>
            <w:r>
              <w:rPr>
                <w:b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SUS ≥ 68</w:t>
            </w:r>
            <w:r>
              <w:rPr>
                <w:b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Tareas observadas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Tasa de éxito ≥ 80 %</w:t>
            </w:r>
            <w:r>
              <w:rPr>
                <w:b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Entrevista semiestructurada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Trazabilidad de requisitos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100 % de filas cerradas</w:t>
            </w:r>
            <w:r>
              <w:rPr>
                <w:b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1F4E79"/>
          <w:sz w:val="25"/>
        </w:rPr>
        <w:t>Cronograma</w:t>
      </w:r>
    </w:p>
    <w:p>
      <w:pPr>
        <w:spacing w:after="100"/>
        <w:jc w:val="both"/>
      </w:pPr>
      <w:r>
        <w:rPr>
          <w:b w:val="0"/>
          <w:i w:val="0"/>
          <w:color w:val="5B6B8C"/>
          <w:sz w:val="16"/>
        </w:rPr>
        <w:t xml:space="preserve">Cronograma prospectivo al 19 de agosto de 2026: todas las actividades están </w:t>
      </w:r>
      <w:r>
        <w:rPr>
          <w:b/>
          <w:i w:val="0"/>
          <w:color w:val="5B6B8C"/>
          <w:sz w:val="16"/>
        </w:rPr>
        <w:t>PLANIFICADAS</w:t>
      </w:r>
      <w:r>
        <w:rPr>
          <w:b w:val="0"/>
          <w:i w:val="0"/>
          <w:color w:val="5B6B8C"/>
          <w:sz w:val="16"/>
        </w:rPr>
        <w:t>. Sus resultados se registran en el informe de validación, no aquí.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28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Confiabilidad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 y desviación por pliegue; banda del umbral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en el protocolo de modelado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Instrumento SUS y guion de sesión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DOI citable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Puntaje SUS, tiempos y tasa de éxito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sin filas abiertas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56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tres</w:t>
            </w:r>
          </w:p>
        </w:tc>
        <w:tc>
          <w:tcPr>
            <w:tcW w:type="dxa" w:w="328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de validación y limitaciones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1F4E79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</w:t>
      </w:r>
      <w:r>
        <w:rPr>
          <w:b w:val="0"/>
          <w:i w:val="0"/>
          <w:color w:val="131B2E"/>
          <w:sz w:val="18"/>
        </w:rPr>
        <w:t xml:space="preserve"> sobre tráfico legítimo pesado fue 25,81 % (16/62) en el pase 1 y 22,97 % (17/74) en el pase 2; el rango aproximado 23–26 % resume ambos pases.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Plan detallado, con la justificación de cada umbral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guion de observación y script de cálculo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Checksums de los artefactos publicados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entre modelos, con corrección de Holm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Plan de validación de resultados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7-plan-de-validacion/plan-de-validacion-de-resultado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dataset/SHA256SUMS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validación de resultados</dc:title>
  <dc:subject>Método y umbral por cada eje de validación, con cronograma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