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01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INFORME DE EVALUACIÓN CRÍTICA DE RESULTADOS</w:t>
      </w:r>
    </w:p>
    <w:p>
      <w:pPr>
        <w:spacing w:after="180"/>
        <w:jc w:val="center"/>
      </w:pPr>
      <w:r>
        <w:rPr>
          <w:b w:val="0"/>
          <w:i w:val="0"/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</w:r>
    </w:p>
    <w:p>
      <w:pPr>
        <w:spacing w:before="220" w:after="80"/>
      </w:pPr>
      <w:r>
        <w:rPr>
          <w:b/>
          <w:color w:val="1F4E79"/>
          <w:sz w:val="25"/>
        </w:rPr>
        <w:t>1 ·  Qué se abordó de manera objetiva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detecta comportamiento anómalo y </w:t>
      </w:r>
      <w:r>
        <w:rPr>
          <w:b/>
          <w:i w:val="0"/>
          <w:color w:val="131B2E"/>
          <w:sz w:val="18"/>
        </w:rPr>
        <w:t>bloquea la IP ofensora en el propio router</w:t>
      </w:r>
      <w:r>
        <w:rPr>
          <w:b w:val="0"/>
          <w:i w:val="0"/>
          <w:color w:val="131B2E"/>
          <w:sz w:val="18"/>
        </w:rPr>
        <w:t>, validado sobre tráfico real de laboratorio. Toda cifra procede de artefactos verificables; ninguna se transcribe a mano.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evaluado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 obtenido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verificó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Capacidad discriminante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ROC-AUC 0,974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Re-puntuando el modelo congelado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Detección de ataques genuinos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88,8 %</w:t>
            </w:r>
            <w:r>
              <w:rPr>
                <w:b w:val="0"/>
                <w:color w:val="131B2E"/>
                <w:sz w:val="16"/>
              </w:rPr>
              <w:t xml:space="preserve"> [83,0 – 92,8]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Evaluación bloqueada de un solo paso, con intervalo de Wilson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Respuesta en tiempo real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Bloqueo en mediana de </w:t>
            </w:r>
            <w:r>
              <w:rPr>
                <w:b/>
                <w:color w:val="131B2E"/>
                <w:sz w:val="16"/>
              </w:rPr>
              <w:t>8,0 s</w:t>
            </w:r>
            <w:r>
              <w:rPr>
                <w:b w:val="0"/>
                <w:color w:val="131B2E"/>
                <w:sz w:val="16"/>
              </w:rPr>
              <w:t xml:space="preserve"> (p95 8,7 s)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58 corridas con el motor activo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Disponibilidad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Cero caídas registradas</w:t>
            </w:r>
            <w:r>
              <w:rPr>
                <w:b w:val="0"/>
                <w:color w:val="131B2E"/>
                <w:sz w:val="16"/>
              </w:rPr>
              <w:t>; 55 de 58 corridas con verificación explícita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Registro de servicios antes y después de cada corrida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Aporte de las variables multicapa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De </w:t>
            </w:r>
            <w:r>
              <w:rPr>
                <w:b/>
                <w:color w:val="131B2E"/>
                <w:sz w:val="16"/>
              </w:rPr>
              <w:t>66,5 % a 88,8 %</w:t>
            </w:r>
            <w:r>
              <w:rPr>
                <w:b w:val="0"/>
                <w:color w:val="131B2E"/>
                <w:sz w:val="16"/>
              </w:rPr>
              <w:t xml:space="preserve"> de detección, p &lt; 0,001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Ablación por capas con McNemar exacto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Superioridad del modelo elegido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Las </w:t>
            </w:r>
            <w:r>
              <w:rPr>
                <w:b/>
                <w:color w:val="131B2E"/>
                <w:sz w:val="16"/>
              </w:rPr>
              <w:t>6 comparaciones</w:t>
            </w:r>
            <w:r>
              <w:rPr>
                <w:b w:val="0"/>
                <w:color w:val="131B2E"/>
                <w:sz w:val="16"/>
              </w:rPr>
              <w:t xml:space="preserve"> del OCSVM son significativas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McNemar + corrección de Holm sobre 21 pares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Reproducibilidad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los 7 modelos</w:t>
            </w:r>
            <w:r>
              <w:rPr>
                <w:b w:val="0"/>
                <w:color w:val="131B2E"/>
                <w:sz w:val="16"/>
              </w:rPr>
              <w:t xml:space="preserve"> publicados y verificables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sha256sum -c · licencias MIT y CC BY 4.0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456000" cy="271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-curva-r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271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1. Curva ROC del modelo congelado. El AUC de 0,974 se calculó en esta evaluación: el trabajo original nunca lo computó.</w:t>
      </w:r>
    </w:p>
    <w:p>
      <w:pPr>
        <w:spacing w:before="220" w:after="80"/>
      </w:pPr>
      <w:r>
        <w:rPr>
          <w:b/>
          <w:color w:val="1F4E79"/>
          <w:sz w:val="25"/>
        </w:rPr>
        <w:t>2 ·  Qué está faltando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Las debilidades se ordenan por gravedad y </w:t>
      </w:r>
      <w:r>
        <w:rPr>
          <w:b/>
          <w:i w:val="0"/>
          <w:color w:val="131B2E"/>
          <w:sz w:val="18"/>
        </w:rPr>
        <w:t>todas están medidas</w:t>
      </w:r>
      <w:r>
        <w:rPr>
          <w:b w:val="0"/>
          <w:i w:val="0"/>
          <w:color w:val="131B2E"/>
          <w:sz w:val="18"/>
        </w:rPr>
        <w:t>, no supuestas.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Debilidad</w:t>
            </w:r>
          </w:p>
        </w:tc>
        <w:tc>
          <w:tcPr>
            <w:tcW w:type="dxa" w:w="52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Gravedad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falso positivo de laboratorio no se sostiene en operación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4,71 % [2,8–7,9] frente a 22,97 % [14,9–33,7]. </w:t>
            </w:r>
            <w:r>
              <w:rPr>
                <w:b/>
                <w:color w:val="131B2E"/>
                <w:sz w:val="16"/>
              </w:rPr>
              <w:t>Los intervalos no se solapan.</w:t>
            </w:r>
            <w:r>
              <w:rPr>
                <w:b w:val="0"/>
                <w:color w:val="131B2E"/>
                <w:sz w:val="16"/>
              </w:rPr>
              <w:t xml:space="preserve"> Una transferencia legítima de 200 Mbit/s bloqueó a un cliente real 120 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modelo se eligió observando el conjunto de prueba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El manifiesto designaba otro modelo como conclusión y a este como comparador. El 88,3 % es el máximo sobre 7 candidatos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Ninguna validación con usuarios reales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No se midió la experiencia de uso del panel ni se aplicó instrumento alguno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 partición mide repetición, no generalización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Los 44 perfiles aparecen en las tres particiones; no existe jornada de holdout externa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Sin validación cruzada ni banda para el umbral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El umbral 1,8126 se reporta como valor puntual, sin variabilidad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  <w:tr>
        <w:tc>
          <w:tcPr>
            <w:tcW w:type="dxa" w:w="283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Las 8 variables L7 nuevas no aportan detección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 ablación las midió: p = 1,000 y </w:t>
            </w:r>
            <w:r>
              <w:rPr>
                <w:b/>
                <w:color w:val="131B2E"/>
                <w:sz w:val="16"/>
              </w:rPr>
              <w:t>5 falsos positivos adicionales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5119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11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2. El hallazgo más importante: el error sobre tráfico legítimo medido en laboratorio no se reproduce en operación real.</w:t>
      </w:r>
    </w:p>
    <w:p>
      <w:pPr>
        <w:spacing w:before="220" w:after="80"/>
      </w:pPr>
      <w:r>
        <w:rPr>
          <w:b/>
          <w:color w:val="1F4E79"/>
          <w:sz w:val="25"/>
        </w:rPr>
        <w:t>3 ·  Cómo se está abordando lo que falta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Ya resuelto</w:t>
      </w:r>
      <w:r>
        <w:rPr>
          <w:b w:val="0"/>
          <w:i w:val="0"/>
          <w:color w:val="131B2E"/>
          <w:sz w:val="18"/>
        </w:rPr>
        <w:t>, sin capturar datos nuevos ni reentrenar el modelo congelado: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487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Acción ejecutada</w:t>
            </w:r>
          </w:p>
        </w:tc>
        <w:tc>
          <w:tcPr>
            <w:tcW w:type="dxa" w:w="442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cerró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Intervalos de Wilson en toda proporción y </w:t>
            </w:r>
            <w:r>
              <w:rPr>
                <w:b/>
                <w:color w:val="131B2E"/>
                <w:sz w:val="16"/>
              </w:rPr>
              <w:t>McNemar con corrección de Holm</w:t>
            </w:r>
            <w:r>
              <w:rPr>
                <w:b w:val="0"/>
                <w:color w:val="131B2E"/>
                <w:sz w:val="16"/>
              </w:rPr>
              <w:t xml:space="preserve"> sobre 21 comparaciones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medidas de incertidumbre y de pruebas de significancia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Ablación por capas y comparación 14 vs 28</w:t>
            </w:r>
            <w:r>
              <w:rPr>
                <w:b w:val="0"/>
                <w:color w:val="131B2E"/>
                <w:sz w:val="16"/>
              </w:rPr>
              <w:t>, con la configuración completa reproduciendo el modelo congelado bit a bit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jurado, antes sin ejecutar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Diccionario científico de las 28 variables</w:t>
            </w:r>
            <w:r>
              <w:rPr>
                <w:b w:val="0"/>
                <w:color w:val="131B2E"/>
                <w:sz w:val="16"/>
              </w:rPr>
              <w:t>, generado desde el extractor congelado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7 modelos publicados</w:t>
            </w:r>
            <w:r>
              <w:rPr>
                <w:b w:val="0"/>
                <w:color w:val="131B2E"/>
                <w:sz w:val="16"/>
              </w:rPr>
              <w:t xml:space="preserve"> con checksums y licencias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Imposibilidad de replicar desde un clon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*Datasheet*, *model card* y *system card*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documentación canónica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Declaración explícita de la selección posterior</w:t>
            </w:r>
            <w:r>
              <w:rPr>
                <w:b w:val="0"/>
                <w:color w:val="131B2E"/>
                <w:sz w:val="16"/>
              </w:rPr>
              <w:t xml:space="preserve"> del modelo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Objeción metodológica principal, ahora declarada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Pendiente, con plazo realista.</w:t>
      </w:r>
      <w:r>
        <w:rPr>
          <w:b w:val="0"/>
          <w:i w:val="0"/>
          <w:color w:val="131B2E"/>
          <w:sz w:val="18"/>
        </w:rPr>
        <w:t xml:space="preserve"> El orden responde a coste, no a comodidad: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Plazo</w:t>
            </w:r>
          </w:p>
        </w:tc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Acción</w:t>
            </w:r>
          </w:p>
        </w:tc>
        <w:tc>
          <w:tcPr>
            <w:tcW w:type="dxa" w:w="385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Por qué en ese orden</w:t>
            </w:r>
          </w:p>
        </w:tc>
      </w:tr>
      <w:tr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Horas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Validación cruzada por episodio · banda del umbral por remuestreo · cerrar la matriz de requisitos</w:t>
            </w:r>
          </w:p>
        </w:tc>
        <w:tc>
          <w:tcPr>
            <w:tcW w:type="dxa" w:w="385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No dependen de nadie más y usan el dataset ya publicado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Días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con usuarios: SUS con 5–8 evaluadores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Es el único cero absoluto que queda; una sesión lo convierte en evidencia</w:t>
            </w:r>
          </w:p>
        </w:tc>
      </w:tr>
      <w:tr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Semanas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Recalibrar incluyendo tráfico legítimo pesado y repetir la validación operativa</w:t>
            </w:r>
          </w:p>
        </w:tc>
        <w:tc>
          <w:tcPr>
            <w:tcW w:type="dxa" w:w="385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Única solución real al falso positivo del 23–26 %. Se declara como límite, no se simula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4 ·  Conclusión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Se demostró con evidencia que el sistema </w:t>
      </w:r>
      <w:r>
        <w:rPr>
          <w:b/>
          <w:i w:val="0"/>
          <w:color w:val="131B2E"/>
          <w:sz w:val="18"/>
        </w:rPr>
        <w:t>detecta y bloquea en tiempo real</w:t>
      </w:r>
      <w:r>
        <w:rPr>
          <w:b w:val="0"/>
          <w:i w:val="0"/>
          <w:color w:val="131B2E"/>
          <w:sz w:val="18"/>
        </w:rPr>
        <w:t xml:space="preserve"> sobre una red enrutada, con ROC-AUC de 0,974, detección del 88,8 % sobre ataques genuinos y bloqueo en una mediana de 8 segundos, sin ninguna caída de servicio registrada.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No se demostró</w:t>
      </w:r>
      <w:r>
        <w:rPr>
          <w:b w:val="0"/>
          <w:i w:val="0"/>
          <w:color w:val="131B2E"/>
          <w:sz w:val="18"/>
        </w:rPr>
        <w:t xml:space="preserve"> que lo haga con una tasa de falsos positivos aceptable sobre tráfico legítimo pesado: en esa condición el sistema todavía no es apto para operación desatendida.</w:t>
      </w:r>
    </w:p>
    <w:p>
      <w:pPr>
        <w:spacing w:after="100"/>
        <w:jc w:val="both"/>
      </w:pPr>
      <w:r>
        <w:rPr>
          <w:b w:val="0"/>
          <w:i/>
          <w:color w:val="5B6B8C"/>
          <w:sz w:val="18"/>
        </w:rPr>
        <w:t>Delimitar esa frontera con medición —y no ocultarla— es el resultado de esta evaluación. Un hallazgo negativo verificado vale más que una conclusión favorable sin respaldo.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detallado, con las 11 figuras y la trazabilidad de cada cifra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Ablación por capas y comparación 14 vs. 28 variables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estadística entre los siete modelos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del sistema desplegado (F6) — </w:t>
      </w:r>
      <w:hyperlink r:id="rId15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Las 11 gráficas, generadas por script desde los datos reales — </w:t>
      </w:r>
      <w:hyperlink r:id="rId16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7"/>
      <w:headerReference w:type="default" r:id="rId18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Informe de evaluación crítica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01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4-modelado/07-ablacion-multicapa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5" Type="http://schemas.openxmlformats.org/officeDocument/2006/relationships/hyperlink" Target="https://github.com/marksato13/VF-Sistema-Open-Source-para-la-Deteccion-Temprana-de-Comportamientos-Anomalos-en-Redes-de-Datos/blob/main/docs/fase07-validacion-final/02-resultados-f6.md" TargetMode="External"/><Relationship Id="rId16" Type="http://schemas.openxmlformats.org/officeDocument/2006/relationships/hyperlink" Target="https://github.com/marksato13/VF-Sistema-Open-Source-para-la-Deteccion-Temprana-de-Comportamientos-Anomalos-en-Redes-de-Datos/blob/main/docs/entregables/graficas" TargetMode="External"/><Relationship Id="rId17" Type="http://schemas.openxmlformats.org/officeDocument/2006/relationships/footer" Target="footer1.xml"/><Relationship Id="rId1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evaluación crítica de resultados</dc:title>
  <dc:subject>Investigación V · Sesión 01 · Evaluación crítica de los resultados de la tesis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