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1F4E79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color w:val="131B2E"/>
          <w:sz w:val="20"/>
        </w:rPr>
        <w:t>seis del OCSVM son significativas sin excepción</w:t>
      </w:r>
      <w:r>
        <w:rPr>
          <w:b w:val="0"/>
          <w:color w:val="131B2E"/>
          <w:sz w:val="20"/>
        </w:rPr>
        <w:t xml:space="preserve">; en cambio </w:t>
      </w:r>
      <w:r>
        <w:rPr>
          <w:b/>
          <w:color w:val="131B2E"/>
          <w:sz w:val="20"/>
        </w:rPr>
        <w:t>ninguna diferencia de falso positivo lo es</w:t>
      </w:r>
      <w:r>
        <w:rPr>
          <w:b w:val="0"/>
          <w:color w:val="131B2E"/>
          <w:sz w:val="20"/>
        </w:rPr>
        <w:t>, así que afirmar que un modelo comete menos falsos positivos que otro no está respaldado.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44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Cero caídas registradas en 58 corridas (55 verificadas), sin pérdida de paquetes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Declarada la selección posterior del modelo; intervalos de confianza en toda proporción; error operativo reportado junto al de laboratorio; diccionario de las 28 variables publicado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Interna · Confiabilidad · Externa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Ablación por capas y comparación 14 vs. 28, y prueba de significancia entre modelos (McNemar con corrección de Holm)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 · Interna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por episodio y banda del umbral por remuestreo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usuarios: prueba de usabilidad con 5–8 evaluadores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futuro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Jornada nueva como holdout temporal y recalibración con tráfico legítimo intenso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36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 pendiente de </w:t>
            </w:r>
            <w:r>
              <w:rPr>
                <w:b/>
                <w:color w:val="131B2E"/>
                <w:sz w:val="19"/>
              </w:rPr>
              <w:t>horas y días</w:t>
            </w:r>
            <w:r>
              <w:rPr>
                <w:b w:val="0"/>
                <w:color w:val="131B2E"/>
                <w:sz w:val="19"/>
              </w:rPr>
              <w:t xml:space="preserve"> se ejecuta antes de cerrar la tesis. Lo de </w:t>
            </w:r>
            <w:r>
              <w:rPr>
                <w:b/>
                <w:color w:val="131B2E"/>
                <w:sz w:val="19"/>
              </w:rPr>
              <w:t>semanas</w:t>
            </w:r>
            <w:r>
              <w:rPr>
                <w:b w:val="0"/>
                <w:color w:val="131B2E"/>
                <w:sz w:val="19"/>
              </w:rPr>
              <w:t xml:space="preserve"> se declara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inferencia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: selección posterior declarada, intervalos de confianza en toda proporción, ablación ejecutada y pruebas de significancia añadidas. Queda una ausencia y una limitación, de naturaleza distinta.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ausencia es la pertinencia</w:t>
      </w:r>
      <w:r>
        <w:rPr>
          <w:b w:val="0"/>
          <w:i w:val="0"/>
          <w:color w:val="131B2E"/>
          <w:sz w:val="20"/>
        </w:rPr>
        <w:t xml:space="preserve">: nadie externo ha usado el sistema. Una prueba de usabilidad con 5–8 evaluadores la convierte en evidencia. </w:t>
      </w:r>
      <w:r>
        <w:rPr>
          <w:b/>
          <w:i w:val="0"/>
          <w:color w:val="131B2E"/>
          <w:sz w:val="20"/>
        </w:rPr>
        <w:t>La limitación es el falso positivo sobre tráfico legítimo pesado</w:t>
      </w:r>
      <w:r>
        <w:rPr>
          <w:b w:val="0"/>
          <w:i w:val="0"/>
          <w:color w:val="131B2E"/>
          <w:sz w:val="20"/>
        </w:rPr>
        <w:t>, y esa no se corrige documentándola: exige recalibrar el umbral con ese tráfico como normalidad y repetir la validación operativa.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alpha. Psychometrika, 16(3), 297–334. — No aplicable: el producto no emplea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ML-based science. Patterns, 4(9), 100804. —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SQuaRE — System and software quality models. — Correspondencia detallada en la ficha de auditoría del producto.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 de validación y confiabilidad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Análisis completo con las 11 figuras y los 7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Datasheet del corpus: procedencia, calidad y límites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cruzada por episodio y banda del umbral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marksato13/VF-Sistema-Open-Source-para-la-Deteccion-Temprana-de-Comportamientos-Anomalos-en-Redes-de-Datos/blob/main/docs/entregables/02-validacion-y-confiabilidad/informe-validacion-confiabilidad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dataset/DATASHEET_MULTILAYER_V2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9-validacion-cruzada-y-estabilidad.md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