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433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Investigación V · Sesión 02</w:t>
      </w:r>
    </w:p>
    <w:p>
      <w:pPr>
        <w:spacing w:before="160" w:after="40"/>
        <w:jc w:val="center"/>
      </w:pPr>
      <w:r>
        <w:rPr>
          <w:b/>
          <w:color w:val="1F4E79"/>
          <w:sz w:val="30"/>
        </w:rPr>
        <w:t>PLAN DE VALIDACIÓN DE RESULTADOS</w:t>
      </w:r>
    </w:p>
    <w:p>
      <w:pPr>
        <w:spacing w:after="160"/>
        <w:jc w:val="center"/>
      </w:pPr>
      <w:r>
        <w:rPr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</w:t>
      </w:r>
      <w:r>
        <w:rPr>
          <w:b/>
          <w:i w:val="0"/>
          <w:color w:val="131B2E"/>
          <w:sz w:val="18"/>
        </w:rPr>
        <w:t>decide y bloquea tráfico en tiempo real</w:t>
      </w:r>
      <w:r>
        <w:rPr>
          <w:b w:val="0"/>
          <w:i w:val="0"/>
          <w:color w:val="131B2E"/>
          <w:sz w:val="18"/>
        </w:rPr>
        <w:t xml:space="preserve">, no un instrumento de medición por escalas. Por eso la confiabilidad se valida sobre las decisiones del modelo y el determinismo del sistema: no existen ítems de escala que correlacionar, así que </w:t>
      </w:r>
      <w:r>
        <w:rPr>
          <w:b/>
          <w:i w:val="0"/>
          <w:color w:val="131B2E"/>
          <w:sz w:val="18"/>
        </w:rPr>
        <w:t>Alfa de Cronbach no aplica</w:t>
      </w:r>
      <w:r>
        <w:rPr>
          <w:b w:val="0"/>
          <w:i w:val="0"/>
          <w:color w:val="131B2E"/>
          <w:sz w:val="18"/>
        </w:rPr>
        <w:t xml:space="preserve"> al producto.</w:t>
      </w:r>
    </w:p>
    <w:p>
      <w:pPr>
        <w:spacing w:before="200" w:after="80"/>
      </w:pPr>
      <w:r>
        <w:rPr>
          <w:b/>
          <w:color w:val="1F4E79"/>
          <w:sz w:val="25"/>
        </w:rPr>
        <w:t>1 · Confiabilidad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Aplicada a</w:t>
            </w:r>
          </w:p>
        </w:tc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Intervalo de Wilson 95 %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Toda proporción reportada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reporta </w:t>
            </w:r>
            <w:r>
              <w:rPr>
                <w:b/>
                <w:color w:val="131B2E"/>
                <w:sz w:val="16"/>
              </w:rPr>
              <w:t>siempre</w:t>
            </w:r>
            <w:r>
              <w:rPr>
                <w:b w:val="0"/>
                <w:color w:val="131B2E"/>
                <w:sz w:val="16"/>
              </w:rPr>
              <w:t>; una familia con n &lt; 10 no sostiene conclusión propia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McNemar exacto + Holm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Pares de modelos y de configuraciones de variables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 &lt; 0,05 tras corregir.</w:t>
            </w:r>
            <w:r>
              <w:rPr>
                <w:b w:val="0"/>
                <w:color w:val="131B2E"/>
                <w:sz w:val="16"/>
              </w:rPr>
              <w:t xml:space="preserve"> Sin corrección, 21 comparaciones dan ≈66 % de probabilidad de un falso hallazgo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Modelo congelado OCSVM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detección media de los pliegues debe caer </w:t>
            </w:r>
            <w:r>
              <w:rPr>
                <w:b/>
                <w:color w:val="131B2E"/>
                <w:sz w:val="16"/>
              </w:rPr>
              <w:t>dentro del intervalo de Wilson</w:t>
            </w:r>
            <w:r>
              <w:rPr>
                <w:b w:val="0"/>
                <w:color w:val="131B2E"/>
                <w:sz w:val="16"/>
              </w:rPr>
              <w:t xml:space="preserve"> de la evaluación de un solo paso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Bootstrap por episodio</w:t>
            </w:r>
            <w:r>
              <w:rPr>
                <w:b w:val="0"/>
                <w:color w:val="131B2E"/>
                <w:sz w:val="16"/>
              </w:rPr>
              <w:t>, B = 1 000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Umbral 1,8126087939765134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Coeficiente de variación &lt; 5 %</w:t>
            </w:r>
            <w:r>
              <w:rPr>
                <w:b w:val="0"/>
                <w:color w:val="131B2E"/>
                <w:sz w:val="16"/>
              </w:rPr>
              <w:t>; por encima se reporta como banda, no como valor puntual</w:t>
            </w:r>
          </w:p>
        </w:tc>
      </w:tr>
      <w:tr>
        <w:tc>
          <w:tcPr>
            <w:tcW w:type="dxa" w:w="243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Determinismo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Ajuste completo del modelo</w:t>
            </w:r>
          </w:p>
        </w:tc>
        <w:tc>
          <w:tcPr>
            <w:tcW w:type="dxa" w:w="487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SHA-256 idéntico</w:t>
            </w:r>
            <w:r>
              <w:rPr>
                <w:b w:val="0"/>
                <w:color w:val="131B2E"/>
                <w:sz w:val="16"/>
              </w:rPr>
              <w:t xml:space="preserve"> del .joblib en 10 ejecuciones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Wilson se prefiere al intervalo normal con proporciones extremas y muestras pequeñas —el caso de las familias con n = 6—. McNemar es la prueba pareada correcta porque ambos modelos se evalúan sobre las mismas ventanas, y la binomial exacta evita la aproximación ji² con recuentos bajos. Agrupar por episodio es obligatorio: las ventanas del mismo episodio se solapan y repartirlas al azar produciría fuga.</w:t>
      </w:r>
    </w:p>
    <w:p>
      <w:pPr>
        <w:spacing w:before="200" w:after="80"/>
      </w:pPr>
      <w:r>
        <w:rPr>
          <w:b/>
          <w:color w:val="1F4E79"/>
          <w:sz w:val="25"/>
        </w:rPr>
        <w:t>2 · Replicabilidad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17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32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Dónde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Código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GitHub, licencia </w:t>
            </w:r>
            <w:r>
              <w:rPr>
                <w:b/>
                <w:color w:val="131B2E"/>
                <w:sz w:val="16"/>
              </w:rPr>
              <w:t>MIT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 candidatos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Mismo repositorio, licencia </w:t>
            </w:r>
            <w:r>
              <w:rPr>
                <w:b/>
                <w:color w:val="131B2E"/>
                <w:sz w:val="16"/>
              </w:rPr>
              <w:t>CC BY 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Integridad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docs/dataset/SHA256SUMS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Entorno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Versiones exactas de scikit-learn y numpy en el manifiesto congelado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Documentación</w:t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Datasheet de 11 secciones, model card, system card y diccionario de las 28 variables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Depósito citable con DOI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Zenodo, versionado y enlazado al repositorio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  <w:tr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Semillas y determinismo como protocolo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Protocolo de modelado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Umbral aceptable:</w:t>
      </w:r>
      <w:r>
        <w:rPr>
          <w:b w:val="0"/>
          <w:i w:val="0"/>
          <w:color w:val="131B2E"/>
          <w:sz w:val="18"/>
        </w:rPr>
        <w:t xml:space="preserve"> quien clone el repositorio debe reproducir el umbral 1,8126087939765134 </w:t>
      </w:r>
      <w:r>
        <w:rPr>
          <w:b/>
          <w:i w:val="0"/>
          <w:color w:val="131B2E"/>
          <w:sz w:val="18"/>
        </w:rPr>
        <w:t>en sus 16 dígitos</w:t>
      </w:r>
      <w:r>
        <w:rPr>
          <w:b w:val="0"/>
          <w:i w:val="0"/>
          <w:color w:val="131B2E"/>
          <w:sz w:val="18"/>
        </w:rPr>
        <w:t xml:space="preserve"> y los recuentos 13/276 de falso positivo y 158/179 de detección. Cualquier desviación invalida la replicación. El criterio ya se cumple internamente: los siete modelos publicados, recargados y verificados por SHA-256, reproducen el manifiesto de forma exacta.</w:t>
      </w:r>
    </w:p>
    <w:p>
      <w:pPr>
        <w:spacing w:before="200" w:after="80"/>
      </w:pPr>
      <w:r>
        <w:rPr>
          <w:b/>
          <w:color w:val="1F4E79"/>
          <w:sz w:val="25"/>
        </w:rPr>
        <w:t>3 · Pertinencia</w:t>
      </w:r>
    </w:p>
    <w:p>
      <w:pPr>
        <w:spacing w:after="60"/>
        <w:jc w:val="both"/>
      </w:pPr>
      <w:r>
        <w:rPr>
          <w:b w:val="0"/>
          <w:i w:val="0"/>
          <w:color w:val="131B2E"/>
          <w:sz w:val="18"/>
        </w:rPr>
        <w:t xml:space="preserve">Es el </w:t>
      </w:r>
      <w:r>
        <w:rPr>
          <w:b/>
          <w:i w:val="0"/>
          <w:color w:val="131B2E"/>
          <w:sz w:val="18"/>
        </w:rPr>
        <w:t>único eje sin evidencia</w:t>
      </w:r>
      <w:r>
        <w:rPr>
          <w:b w:val="0"/>
          <w:i w:val="0"/>
          <w:color w:val="131B2E"/>
          <w:sz w:val="18"/>
        </w:rPr>
        <w:t xml:space="preserve"> a la fecha.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04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85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Prueba de usabilidad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System Usability Scale, 10 ítems, </w:t>
            </w:r>
            <w:r>
              <w:rPr>
                <w:b/>
                <w:color w:val="131B2E"/>
                <w:sz w:val="16"/>
              </w:rPr>
              <w:t>5–8 evaluadores</w:t>
            </w:r>
            <w:r>
              <w:rPr>
                <w:b w:val="0"/>
                <w:color w:val="131B2E"/>
                <w:sz w:val="16"/>
              </w:rPr>
              <w:t xml:space="preserve"> con perfil de administración de redes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SUS ≥ 68</w:t>
            </w:r>
            <w:r>
              <w:rPr>
                <w:b w:val="0"/>
                <w:color w:val="131B2E"/>
                <w:sz w:val="16"/>
              </w:rPr>
              <w:t>, media de referencia de la literatura. Por debajo, se rediseña el panel antes de la defensa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Tareas observadas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 tareas: localizar una IP bloqueada, leer su expiración, distinguir alerta del modelo de alerta heurística, verificar servicios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Tasa de éxito ≥ 80 %</w:t>
            </w:r>
            <w:r>
              <w:rPr>
                <w:b w:val="0"/>
                <w:color w:val="131B2E"/>
                <w:sz w:val="16"/>
              </w:rPr>
              <w:t xml:space="preserve"> sin ayuda del observador</w:t>
            </w:r>
          </w:p>
        </w:tc>
      </w:tr>
      <w:tr>
        <w:tc>
          <w:tcPr>
            <w:tcW w:type="dxa" w:w="204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Entrevista semiestructurada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2–3 interesados: asesores y responsable de red</w:t>
            </w:r>
          </w:p>
        </w:tc>
        <w:tc>
          <w:tcPr>
            <w:tcW w:type="dxa" w:w="396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Necesidades cubiertas y no cubiertas; evidencia cualitativa, sin umbral numérico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Trazabilidad de requisitos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de requisitos del jurado frente a la solución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100 % de filas cerradas</w:t>
            </w:r>
            <w:r>
              <w:rPr>
                <w:b w:val="0"/>
                <w:color w:val="131B2E"/>
                <w:sz w:val="16"/>
              </w:rPr>
              <w:t>: con evidencia o declaradas fuera de alcance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Se usa SUS y no una encuesta propia porque es un instrumento validado, con baremo publicado, aplicable con muestras pequeñas y comparable con otros estudios.</w:t>
      </w:r>
    </w:p>
    <w:p>
      <w:pPr>
        <w:spacing w:before="200" w:after="80"/>
      </w:pPr>
      <w:r>
        <w:rPr>
          <w:b/>
          <w:color w:val="1F4E79"/>
          <w:sz w:val="25"/>
        </w:rPr>
        <w:t>Cronograma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73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Sem.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Eje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379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Producto verificable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Confiabilidad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y bootstrap del umbral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 y desviación por pliegue; banda del umbral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semillas y determinismo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en el protocolo de modelado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Diseñar instrumento y guion de tareas; reclutar evaluadores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Instrumento SUS y guion de sesión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Depósito en Zenodo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DOI citable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Ejecutar sesiones de usabilidad y entrevistas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Puntaje SUS, tiempos y tasa de éxito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Cerrar la matriz de trazabilidad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sin filas abiertas</w:t>
            </w:r>
          </w:p>
        </w:tc>
      </w:tr>
      <w:tr>
        <w:tc>
          <w:tcPr>
            <w:tcW w:type="dxa" w:w="73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</w:t>
            </w:r>
          </w:p>
        </w:tc>
        <w:tc>
          <w:tcPr>
            <w:tcW w:type="dxa" w:w="158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tres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Integrar la validación al artículo y a la tesis</w:t>
            </w:r>
          </w:p>
        </w:tc>
        <w:tc>
          <w:tcPr>
            <w:tcW w:type="dxa" w:w="379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de validación y limitaciones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El orden responde a dependencias: confiabilidad va primero porque no necesita a nadie más; pertinencia ocupa dos semanas porque depende de coordinar personas.</w:t>
      </w:r>
    </w:p>
    <w:p>
      <w:pPr>
        <w:spacing w:before="200" w:after="80"/>
      </w:pPr>
      <w:r>
        <w:rPr>
          <w:b/>
          <w:color w:val="1F4E79"/>
          <w:sz w:val="25"/>
        </w:rPr>
        <w:t>Fuera del alcance de este plan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</w:t>
      </w:r>
      <w:r>
        <w:rPr>
          <w:b/>
          <w:i w:val="0"/>
          <w:color w:val="131B2E"/>
          <w:sz w:val="18"/>
        </w:rPr>
        <w:t>falso positivo operativo de 23–26 %</w:t>
      </w:r>
      <w:r>
        <w:rPr>
          <w:b w:val="0"/>
          <w:i w:val="0"/>
          <w:color w:val="131B2E"/>
          <w:sz w:val="18"/>
        </w:rPr>
        <w:t xml:space="preserve"> sobre tráfico legítimo pesado exige recalibrar con ese tráfico como normalidad y repetir la validación: semanas. La </w:t>
      </w:r>
      <w:r>
        <w:rPr>
          <w:b/>
          <w:i w:val="0"/>
          <w:color w:val="131B2E"/>
          <w:sz w:val="18"/>
        </w:rPr>
        <w:t>selección posterior del modelo</w:t>
      </w:r>
      <w:r>
        <w:rPr>
          <w:b w:val="0"/>
          <w:i w:val="0"/>
          <w:color w:val="131B2E"/>
          <w:sz w:val="18"/>
        </w:rPr>
        <w:t xml:space="preserve"> exige un protocolo nuevo con evaluación reservada. Ambas se declaran como límite, no se simulan.</w:t>
      </w: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✔ = ya ejecutado y publicado.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Plan detallado, con la justificación de cada umbral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Instrumento SUS, guion de observación y script de cálculo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Checksums de los artefactos publicados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entre modelos, con corrección de Holm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4"/>
      <w:headerReference w:type="default" r:id="rId15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Plan de validación de resultados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02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7-plan-de-validacion/plan-de-validacion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entregables/08-validacion-usuarios/README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dataset/SHA256SUMS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validación de resultados</dc:title>
  <dc:subject>Método y umbral por cada eje de validación, con cronograma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