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color w:val="131B2E"/>
          <w:sz w:val="20"/>
        </w:rPr>
        <w:t>seis del OCSVM son significativas sin excepción</w:t>
      </w:r>
      <w:r>
        <w:rPr>
          <w:b w:val="0"/>
          <w:color w:val="131B2E"/>
          <w:sz w:val="20"/>
        </w:rPr>
        <w:t xml:space="preserve">; en cambio </w:t>
      </w:r>
      <w:r>
        <w:rPr>
          <w:b/>
          <w:color w:val="131B2E"/>
          <w:sz w:val="20"/>
        </w:rPr>
        <w:t>ninguna diferencia de falso positivo lo es</w:t>
      </w:r>
      <w:r>
        <w:rPr>
          <w:b w:val="0"/>
          <w:color w:val="131B2E"/>
          <w:sz w:val="20"/>
        </w:rPr>
        <w:t>, así que afirmar que un modelo comete menos falsos positivos que otro no está respaldado.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44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 en captura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Declarar la selección posterior del modelo y que la detección reportada es una estimación optimista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Incorporar los intervalos de confianza a todas las proporciones reportadas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Sustituir las conclusiones sobre familias con n ≤ 6 por declaración de muestra insuficiente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A4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Reportar el error operativo (23–26 %) junto al de laboratorio (4,71 %)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A5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diccionario de fórmulas de las 14 variables nuevas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B1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Ablación por capas y comparación 14 vs. 28: la expansión queda justificada (66,5 % a 88,8 %, p &lt; 0,001), pero las 8 variables L7 nuevas no aportan detección medible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estabilidad por remuestreo del modelo elegido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B3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significancia entre modelos: McNemar exacto con corrección de Holm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Capturar una jornada nueva y reservarla como validación temporal externa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Recalibrar el umbral incluyendo tráfico legítimo intenso y repetir la validación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1–2 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Con el tiempo disponible se ejecutarán los </w:t>
            </w:r>
            <w:r>
              <w:rPr>
                <w:b/>
                <w:color w:val="131B2E"/>
                <w:sz w:val="19"/>
              </w:rPr>
              <w:t>bloques A y B</w:t>
            </w:r>
            <w:r>
              <w:rPr>
                <w:b w:val="0"/>
                <w:color w:val="131B2E"/>
                <w:sz w:val="19"/>
              </w:rPr>
              <w:t xml:space="preserve"> antes de cerrar la tesis: cubren los dos requisitos formales pendientes y corrigen la principal deficiencia estadística </w:t>
            </w:r>
            <w:r>
              <w:rPr>
                <w:b/>
                <w:color w:val="131B2E"/>
                <w:sz w:val="19"/>
              </w:rPr>
              <w:t>sin requerir experimentación nueva</w:t>
            </w:r>
            <w:r>
              <w:rPr>
                <w:b w:val="0"/>
                <w:color w:val="131B2E"/>
                <w:sz w:val="19"/>
              </w:rPr>
              <w:t xml:space="preserve">. El </w:t>
            </w:r>
            <w:r>
              <w:rPr>
                <w:b/>
                <w:color w:val="131B2E"/>
                <w:sz w:val="19"/>
              </w:rPr>
              <w:t>bloque C</w:t>
            </w:r>
            <w:r>
              <w:rPr>
                <w:b w:val="0"/>
                <w:color w:val="131B2E"/>
                <w:sz w:val="19"/>
              </w:rPr>
              <w:t xml:space="preserve"> se declarará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prioridad ya no es corregir la inferencia: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. Se declaró la selección posterior del modelo, toda proporción lleva su intervalo de confianza, se ejecutó la ablación por capas y se añadieron las pruebas de significancia que faltaban.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única dimensión sin ninguna evidencia es la pertinencia</w:t>
      </w:r>
      <w:r>
        <w:rPr>
          <w:b w:val="0"/>
          <w:i w:val="0"/>
          <w:color w:val="131B2E"/>
          <w:sz w:val="20"/>
        </w:rPr>
        <w:t>: el sistema nunca se sometió a evaluación con usuarios reales. Una prueba de usabilidad con 5–8 evaluadores es la acción de menor costo con mayor efecto, porque cierra a la vez el eje de pertinencia, el criterio correspondiente de la ficha de auditoría y la debilidad registrada en el plan de mejora.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Y </w:t>
      </w:r>
      <w:r>
        <w:rPr>
          <w:b/>
          <w:i w:val="0"/>
          <w:color w:val="131B2E"/>
          <w:sz w:val="20"/>
        </w:rPr>
        <w:t>la limitación principal del sistema sigue abierta</w:t>
      </w:r>
      <w:r>
        <w:rPr>
          <w:b w:val="0"/>
          <w:i w:val="0"/>
          <w:color w:val="131B2E"/>
          <w:sz w:val="20"/>
        </w:rPr>
        <w:t>: el falso positivo sobre tráfico legítimo pesado no se corrige documentándolo, sino recalibrando el umbral con ese tráfico como normalidad y repitiendo la validación operativa.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Criterio de consistencia interna, no aplicable por no emplear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sección 4.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machine-learning-based science. Patterns, 4(9), 100804. — Tipología de fugas y del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— Su correspondencia detallada se desarrolla en la ficha de auditoría del producto.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Anexo técnico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>El análisis completo, con las 11 figuras, la comparación de los 7 modelos evaluados y el detalle de cada hallazgo, está disponible en el repositorio del proyecto: docs/entregables/01-evaluacion-critica/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