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after="140"/>
        <w:jc w:val="center"/>
      </w:pPr>
      <w:r>
        <w:rPr>
          <w:b/>
          <w:i w:val="0"/>
          <w:color w:val="5B6B8C"/>
          <w:sz w:val="16"/>
        </w:rPr>
        <w:t>Entregable de la Sesión 01.</w:t>
      </w:r>
      <w:r>
        <w:rPr>
          <w:b w:val="0"/>
          <w:i w:val="0"/>
          <w:color w:val="5B6B8C"/>
          <w:sz w:val="16"/>
        </w:rPr>
        <w:t xml:space="preserve"> Este documento es el informe de resultados y evaluación crítica; el plan prospectivo de la Sesión 02 está en </w:t>
      </w:r>
      <w:r>
        <w:rPr>
          <w:rFonts w:ascii="Consolas" w:hAnsi="Consolas"/>
          <w:b w:val="0"/>
          <w:i w:val="0"/>
          <w:color w:val="5B6B8C"/>
          <w:sz w:val="16"/>
        </w:rPr>
        <w:t>07-plan-de-validacion/plan-de-validacion-de-resultados.md</w:t>
      </w:r>
      <w:r>
        <w:rPr>
          <w:b w:val="0"/>
          <w:i w:val="0"/>
          <w:color w:val="5B6B8C"/>
          <w:sz w:val="16"/>
        </w:rPr>
        <w:t>.</w:t>
      </w:r>
    </w:p>
    <w:p>
      <w:pPr>
        <w:spacing w:before="220" w:after="80"/>
      </w:pPr>
      <w:r>
        <w:rPr>
          <w:b/>
          <w:color w:val="1F4E79"/>
          <w:sz w:val="25"/>
        </w:rPr>
        <w:t>1 ·  Lo que está listo: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 xml:space="preserve">, validado sobre tráfico real de laboratorio. Toda cifra procede de artefactos verificables; ninguna se transcribe a mano. La evaluación se ordena por los </w:t>
      </w:r>
      <w:r>
        <w:rPr>
          <w:b/>
          <w:i w:val="0"/>
          <w:color w:val="131B2E"/>
          <w:sz w:val="18"/>
        </w:rPr>
        <w:t>criterios de validez y confiabilidad</w:t>
      </w:r>
      <w:r>
        <w:rPr>
          <w:b w:val="0"/>
          <w:i w:val="0"/>
          <w:color w:val="131B2E"/>
          <w:sz w:val="18"/>
        </w:rPr>
        <w:t xml:space="preserve"> trabajados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de la sesión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abordó en este proyecto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Partición </w:t>
            </w:r>
            <w:r>
              <w:rPr>
                <w:b/>
                <w:i w:val="0"/>
                <w:color w:val="131B2E"/>
                <w:sz w:val="16"/>
              </w:rPr>
              <w:t>disjunta por episodio</w:t>
            </w:r>
            <w:r>
              <w:rPr>
                <w:b w:val="0"/>
                <w:i w:val="0"/>
                <w:color w:val="131B2E"/>
                <w:sz w:val="16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31B2E"/>
                <w:sz w:val="16"/>
              </w:rPr>
              <w:t>no_episode_split=true</w:t>
            </w:r>
            <w:r>
              <w:rPr>
                <w:b w:val="0"/>
                <w:i w:val="0"/>
                <w:color w:val="131B2E"/>
                <w:sz w:val="16"/>
              </w:rPr>
              <w:t xml:space="preserve">); umbral fijado solo en validación (α = 0,05); causalidad de las variables probada con test unitario. Una </w:t>
            </w:r>
            <w:r>
              <w:rPr>
                <w:b/>
                <w:i w:val="0"/>
                <w:color w:val="131B2E"/>
                <w:sz w:val="16"/>
              </w:rPr>
              <w:t>fuga real (data leakage) se detectó, corrigió y marcó «no debe citarse»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Validación cruzada de 5 pliegues agrupados por episodio y validación operativa en despliegue real (58 corridas)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Parcial</w:t>
            </w:r>
            <w:r>
              <w:rPr>
                <w:b w:val="0"/>
                <w:i w:val="0"/>
                <w:color w:val="131B2E"/>
                <w:sz w:val="16"/>
              </w:rPr>
              <w:t>: no hay jornada externa ni segundo dataset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Confiabilidad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Del sistema (determinismo)</w:t>
            </w:r>
            <w:r>
              <w:rPr>
                <w:b w:val="0"/>
                <w:i w:val="0"/>
                <w:color w:val="131B2E"/>
                <w:sz w:val="16"/>
              </w:rPr>
              <w:t xml:space="preserve">: 10 ajustes repetidos del pipeline produjeron el mismo SHA-256 y el mismo umbral. </w:t>
            </w:r>
            <w:r>
              <w:rPr>
                <w:b/>
                <w:i w:val="0"/>
                <w:color w:val="131B2E"/>
                <w:sz w:val="16"/>
              </w:rPr>
              <w:t>Test-retest</w:t>
            </w:r>
            <w:r>
              <w:rPr>
                <w:b w:val="0"/>
                <w:i w:val="0"/>
                <w:color w:val="131B2E"/>
                <w:sz w:val="16"/>
              </w:rPr>
              <w:t xml:space="preserve">: dos pases operativos equivalentes. </w:t>
            </w:r>
            <w:r>
              <w:rPr>
                <w:b/>
                <w:i w:val="0"/>
                <w:color w:val="131B2E"/>
                <w:sz w:val="16"/>
              </w:rPr>
              <w:t>Estabilidad del umbral</w:t>
            </w:r>
            <w:r>
              <w:rPr>
                <w:b w:val="0"/>
                <w:i w:val="0"/>
                <w:color w:val="131B2E"/>
                <w:sz w:val="16"/>
              </w:rPr>
              <w:t>: bootstrap por episodio, CV 4,10 %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Diccionario de las 28 variables con fórmula, ventana, fuente y denominador, generado desde el extractor congelado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α de Cronbach / Kappa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No aplican al producto</w:t>
            </w:r>
            <w:r>
              <w:rPr>
                <w:b w:val="0"/>
                <w:i w:val="0"/>
                <w:color w:val="131B2E"/>
                <w:sz w:val="16"/>
              </w:rPr>
              <w:t>: no hay ítems de escala que correlacionar ni jueces clasificando. Aplicarán al instrumento SUS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Justificado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ISO/IEC 25010 — características evaluadas con evidencia:</w:t>
      </w:r>
      <w:r>
        <w:rPr>
          <w:b w:val="0"/>
          <w:i w:val="0"/>
          <w:color w:val="131B2E"/>
          <w:sz w:val="17"/>
        </w:rPr>
        <w:t xml:space="preserve"> </w:t>
      </w:r>
      <w:r>
        <w:rPr>
          <w:b w:val="0"/>
          <w:i/>
          <w:color w:val="131B2E"/>
          <w:sz w:val="17"/>
        </w:rPr>
        <w:t>adecuación funcional</w:t>
      </w:r>
      <w:r>
        <w:rPr>
          <w:b w:val="0"/>
          <w:i w:val="0"/>
          <w:color w:val="131B2E"/>
          <w:sz w:val="17"/>
        </w:rPr>
        <w:t xml:space="preserve"> (detecta y bloquea, 88,8 % de detección), </w:t>
      </w:r>
      <w:r>
        <w:rPr>
          <w:b w:val="0"/>
          <w:i/>
          <w:color w:val="131B2E"/>
          <w:sz w:val="17"/>
        </w:rPr>
        <w:t>eficiencia de desempeño</w:t>
      </w:r>
      <w:r>
        <w:rPr>
          <w:b w:val="0"/>
          <w:i w:val="0"/>
          <w:color w:val="131B2E"/>
          <w:sz w:val="17"/>
        </w:rPr>
        <w:t xml:space="preserve"> (bloqueo en mediana de 8,0 s), </w:t>
      </w:r>
      <w:r>
        <w:rPr>
          <w:b w:val="0"/>
          <w:i/>
          <w:color w:val="131B2E"/>
          <w:sz w:val="17"/>
        </w:rPr>
        <w:t>confiabilidad</w:t>
      </w:r>
      <w:r>
        <w:rPr>
          <w:b w:val="0"/>
          <w:i w:val="0"/>
          <w:color w:val="131B2E"/>
          <w:sz w:val="17"/>
        </w:rPr>
        <w:t xml:space="preserve"> (cero caídas en 58 corridas, determinismo verificado) y </w:t>
      </w:r>
      <w:r>
        <w:rPr>
          <w:b w:val="0"/>
          <w:i/>
          <w:color w:val="131B2E"/>
          <w:sz w:val="17"/>
        </w:rPr>
        <w:t>seguridad</w:t>
      </w:r>
      <w:r>
        <w:rPr>
          <w:b w:val="0"/>
          <w:i w:val="0"/>
          <w:color w:val="131B2E"/>
          <w:sz w:val="17"/>
        </w:rPr>
        <w:t xml:space="preserve"> (trazabilidad por SHA-256). </w:t>
      </w:r>
      <w:r>
        <w:rPr>
          <w:b/>
          <w:i w:val="0"/>
          <w:color w:val="131B2E"/>
          <w:sz w:val="17"/>
        </w:rPr>
        <w:t>Sin evidencia todavía</w:t>
      </w:r>
      <w:r>
        <w:rPr>
          <w:b w:val="0"/>
          <w:i w:val="0"/>
          <w:color w:val="131B2E"/>
          <w:sz w:val="17"/>
        </w:rPr>
        <w:t xml:space="preserve">: </w:t>
      </w:r>
      <w:r>
        <w:rPr>
          <w:b w:val="0"/>
          <w:i/>
          <w:color w:val="131B2E"/>
          <w:sz w:val="17"/>
        </w:rPr>
        <w:t>usabilidad</w:t>
      </w:r>
      <w:r>
        <w:rPr>
          <w:b w:val="0"/>
          <w:i w:val="0"/>
          <w:color w:val="131B2E"/>
          <w:sz w:val="17"/>
        </w:rPr>
        <w:t xml:space="preserve"> —el SUS está pendiente—, </w:t>
      </w:r>
      <w:r>
        <w:rPr>
          <w:b w:val="0"/>
          <w:i/>
          <w:color w:val="131B2E"/>
          <w:sz w:val="17"/>
        </w:rPr>
        <w:t>compatibilidad</w:t>
      </w:r>
      <w:r>
        <w:rPr>
          <w:b w:val="0"/>
          <w:i w:val="0"/>
          <w:color w:val="131B2E"/>
          <w:sz w:val="17"/>
        </w:rPr>
        <w:t xml:space="preserve">, </w:t>
      </w:r>
      <w:r>
        <w:rPr>
          <w:b w:val="0"/>
          <w:i/>
          <w:color w:val="131B2E"/>
          <w:sz w:val="17"/>
        </w:rPr>
        <w:t>mantenibilidad</w:t>
      </w:r>
      <w:r>
        <w:rPr>
          <w:b w:val="0"/>
          <w:i w:val="0"/>
          <w:color w:val="131B2E"/>
          <w:sz w:val="17"/>
        </w:rPr>
        <w:t xml:space="preserve"> y </w:t>
      </w:r>
      <w:r>
        <w:rPr>
          <w:b w:val="0"/>
          <w:i/>
          <w:color w:val="131B2E"/>
          <w:sz w:val="17"/>
        </w:rPr>
        <w:t>portabilidad</w:t>
      </w:r>
      <w:r>
        <w:rPr>
          <w:b w:val="0"/>
          <w:i w:val="0"/>
          <w:color w:val="131B2E"/>
          <w:sz w:val="17"/>
        </w:rPr>
        <w:t>.</w:t>
      </w: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Ya resuelto en agosto</w:t>
      </w:r>
      <w:r>
        <w:rPr>
          <w:b w:val="0"/>
          <w:i w:val="0"/>
          <w:color w:val="131B2E"/>
          <w:sz w:val="17"/>
        </w:rPr>
        <w:t>, sin capturar datos nuevos ni reentrenar: intervalos de Wilson en toda proporción y McNemar con corrección de Holm; ablación por capas y comparación de 14 contra 28 variables; diccionario de las 28 variables; dataset, manifiesto y 7 modelos publicados con sus checksums; datasheet, model card y system card; declaración de la selección posterior; validación cruzada y bootstrap.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Resultados medidos: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medido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Valor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Capacidad discriminante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ROC-AUC 0,974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Detección de ataques genuinos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88,8 %</w:t>
            </w:r>
            <w:r>
              <w:rPr>
                <w:b w:val="0"/>
                <w:i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Respuesta en tiempo real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i w:val="0"/>
                <w:color w:val="131B2E"/>
                <w:sz w:val="16"/>
              </w:rPr>
              <w:t>8,0 s</w:t>
            </w:r>
            <w:r>
              <w:rPr>
                <w:b w:val="0"/>
                <w:i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Disponibilidad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Cero caídas registradas</w:t>
            </w:r>
            <w:r>
              <w:rPr>
                <w:b w:val="0"/>
                <w:i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Aporte de las variables multicapa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 </w:t>
            </w:r>
            <w:r>
              <w:rPr>
                <w:b/>
                <w:i w:val="0"/>
                <w:color w:val="131B2E"/>
                <w:sz w:val="16"/>
              </w:rPr>
              <w:t>66,5 % a 88,8 %</w:t>
            </w:r>
            <w:r>
              <w:rPr>
                <w:b w:val="0"/>
                <w:i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Superioridad del modelo elegido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Las </w:t>
            </w:r>
            <w:r>
              <w:rPr>
                <w:b/>
                <w:i w:val="0"/>
                <w:color w:val="131B2E"/>
                <w:sz w:val="16"/>
              </w:rPr>
              <w:t>6 comparaciones</w:t>
            </w:r>
            <w:r>
              <w:rPr>
                <w:b w:val="0"/>
                <w:i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Reproducibilidad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i w:val="0"/>
                <w:color w:val="131B2E"/>
                <w:sz w:val="16"/>
              </w:rPr>
              <w:t>los 7 modelos</w:t>
            </w:r>
            <w:r>
              <w:rPr>
                <w:b w:val="0"/>
                <w:i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2 ·  Lo que NO está listo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Solo lo que sigue abierto hoy. </w:t>
      </w:r>
      <w:r>
        <w:rPr>
          <w:b/>
          <w:i w:val="0"/>
          <w:color w:val="131B2E"/>
          <w:sz w:val="18"/>
        </w:rPr>
        <w:t>Lo ya resuelto está en la sección 1 y no se repite aquí.</w:t>
      </w:r>
      <w:r>
        <w:rPr>
          <w:b w:val="0"/>
          <w:i w:val="0"/>
          <w:color w:val="131B2E"/>
          <w:sz w:val="18"/>
        </w:rPr>
        <w:t xml:space="preserve"> Las cinco están medidas,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falta</w:t>
            </w:r>
          </w:p>
        </w:tc>
        <w:tc>
          <w:tcPr>
            <w:tcW w:type="dxa" w:w="510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de que falta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94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sistema bloquea tráfico legítimo pesado</w:t>
            </w:r>
          </w:p>
        </w:tc>
        <w:tc>
          <w:tcPr>
            <w:tcW w:type="dxa" w:w="510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En laboratorio se equivoca el 4,71 % de las veces; en operación, 25,81 % y 22,97 %. Una transferencia legítima de 200 Mbit/s bloqueó a un cliente real durante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94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modelo se eligió mirando el examen final</w:t>
            </w:r>
          </w:p>
        </w:tc>
        <w:tc>
          <w:tcPr>
            <w:tcW w:type="dxa" w:w="510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compararon 7 candidatos sobre el mismo conjunto de prueba y se escogió el mejor. El 88,8 % es un máximo, no una estimación limpia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94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Nadie ha usado el panel salvo el equipo</w:t>
            </w:r>
          </w:p>
        </w:tc>
        <w:tc>
          <w:tcPr>
            <w:tcW w:type="dxa" w:w="510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El instrumento SUS está preparado, pero el archivo de respuestas tiene 0 filas: no se ha aplicado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94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No se sabe si funciona en otra jornada</w:t>
            </w:r>
          </w:p>
        </w:tc>
        <w:tc>
          <w:tcPr>
            <w:tcW w:type="dxa" w:w="510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Los 44 perfiles aparecen en las tres particiones. Falta una captura nueva que el modelo no haya visto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94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Faltan 4 escenarios legítimos del jurado</w:t>
            </w:r>
          </w:p>
        </w:tc>
        <w:tc>
          <w:tcPr>
            <w:tcW w:type="dxa" w:w="510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SSH, SCP/SFTP, backup y actualizaciones no están en el dataset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3 ·  Cómo se va a abordar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Una acción por cada fila de la sección 2, en el mismo orden. Todas caben en el laboratorio actual: </w:t>
      </w:r>
      <w:r>
        <w:rPr>
          <w:b/>
          <w:i w:val="0"/>
          <w:color w:val="131B2E"/>
          <w:sz w:val="18"/>
        </w:rPr>
        <w:t>ninguna exige equipo ni presupuesto nuevo</w:t>
      </w:r>
      <w:r>
        <w:rPr>
          <w:b w:val="0"/>
          <w:i w:val="0"/>
          <w:color w:val="131B2E"/>
          <w:sz w:val="18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falta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hará</w:t>
            </w:r>
          </w:p>
        </w:tc>
        <w:tc>
          <w:tcPr>
            <w:tcW w:type="dxa" w:w="272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¿Lo resuelve del todo?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Bloquea tráfico legítimo pesado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Reentrenar incluyendo la transferencia de 200 Mbit/s como tráfico </w:t>
            </w:r>
            <w:r>
              <w:rPr>
                <w:b/>
                <w:i w:val="0"/>
                <w:color w:val="131B2E"/>
                <w:sz w:val="16"/>
              </w:rPr>
              <w:t>normal</w:t>
            </w:r>
            <w:r>
              <w:rPr>
                <w:b w:val="0"/>
                <w:i w:val="0"/>
                <w:color w:val="131B2E"/>
                <w:sz w:val="16"/>
              </w:rPr>
              <w:t xml:space="preserve"> y repetir las 29 corridas de validación</w:t>
            </w:r>
          </w:p>
        </w:tc>
        <w:tc>
          <w:tcPr>
            <w:tcW w:type="dxa" w:w="272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Sí, si el error baja. Si no baja, queda declarado como límite del sistema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Modelo elegido mirando el examen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Recolectar una jornada nueva que el modelo no vea nunca, y medir sobre ella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Sí. Es la única corrección real; no se puede arreglar escribiendo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Nadie ha usado el panel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Sesión de 2 h con 5–8 evaluadores usando el instrumento SUS ya preparado</w:t>
            </w:r>
          </w:p>
        </w:tc>
        <w:tc>
          <w:tcPr>
            <w:tcW w:type="dxa" w:w="272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No sabemos si funciona otro día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La misma jornada nueva de la fila 2 sirve para las dos cosas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Faltan 4 escenarios legítimos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Una campaña F1 más: SSH, SCP/SFTP, backup y actualizaciones</w:t>
            </w:r>
          </w:p>
        </w:tc>
        <w:tc>
          <w:tcPr>
            <w:tcW w:type="dxa" w:w="272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4 ·  En qué tiempo: cronograma comprometido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  <w:t>Propuesta del equipo del 2 de septiembre de 2026, pendiente del visto bueno de los asesores.</w:t>
      </w:r>
      <w:r>
        <w:rPr>
          <w:b w:val="0"/>
          <w:i w:val="0"/>
          <w:color w:val="131B2E"/>
          <w:sz w:val="18"/>
        </w:rPr>
        <w:t xml:space="preserve"> </w:t>
      </w:r>
      <w:r>
        <w:rPr>
          <w:b/>
          <w:i w:val="0"/>
          <w:color w:val="131B2E"/>
          <w:sz w:val="18"/>
        </w:rPr>
        <w:t>La fecha que ordena todo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 y el cargo lo asume la Universidad Peruana Unión, así que enviar antes ahorra USD 100 institucionales. Con la mediana medida de la revista —41 días a la primera decisión, 158 hasta publicar—, un envío el 28 de septiembre proyecta decisión hacia el 8 de noviembre de 2026 y publicación hacia marzo de 2027.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vie 4 sep 2026</w:t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Declarar la selección posterior en la tesis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Párrafo en metodología, enlazado a la </w:t>
            </w:r>
            <w:r>
              <w:rPr>
                <w:b w:val="0"/>
                <w:i/>
                <w:color w:val="131B2E"/>
                <w:sz w:val="16"/>
              </w:rPr>
              <w:t>model card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9 sep 2026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Validación con usuarios (SUS)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Sesión de 2 h con 5–8 evaluadores; instrumento ya preparado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19 sep 2026</w:t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Escenarios legítimos faltantes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23 sep 2026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Juicio experto (3 evaluadores)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Rúbrica de pertinencia, ya con los resultados del SUS a la vista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lun 28 sep 2026</w:t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Envío del artículo a IJIES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Manuscrito en </w:t>
            </w:r>
            <w:r>
              <w:rPr>
                <w:rFonts w:ascii="Consolas" w:hAnsi="Consolas"/>
                <w:b w:val="0"/>
                <w:i w:val="0"/>
                <w:color w:val="131B2E"/>
                <w:sz w:val="16"/>
              </w:rPr>
              <w:t>IJIES_Format.docx</w:t>
            </w:r>
            <w:r>
              <w:rPr>
                <w:b w:val="0"/>
                <w:i w:val="0"/>
                <w:color w:val="131B2E"/>
                <w:sz w:val="16"/>
              </w:rPr>
              <w:t>, 8 a 10 páginas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10 oct 2026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Recalibrar con tráfico pesado y repetir F6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Reentrenar con </w:t>
            </w:r>
            <w:r>
              <w:rPr>
                <w:rFonts w:ascii="Consolas" w:hAnsi="Consolas"/>
                <w:b w:val="0"/>
                <w:i w:val="0"/>
                <w:color w:val="131B2E"/>
                <w:sz w:val="16"/>
              </w:rPr>
              <w:t>iperf-tcp 200M</w:t>
            </w:r>
            <w:r>
              <w:rPr>
                <w:b w:val="0"/>
                <w:i w:val="0"/>
                <w:color w:val="131B2E"/>
                <w:sz w:val="16"/>
              </w:rPr>
              <w:t xml:space="preserve"> como normalidad; repetir las 29 corridas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24 oct 2026</w:t>
            </w:r>
          </w:p>
        </w:tc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/>
                <w:color w:val="131B2E"/>
                <w:sz w:val="16"/>
              </w:rPr>
              <w:t>Holdout</w:t>
            </w:r>
            <w:r>
              <w:rPr>
                <w:b w:val="0"/>
                <w:i w:val="0"/>
                <w:color w:val="131B2E"/>
                <w:sz w:val="16"/>
              </w:rPr>
              <w:t xml:space="preserve"> temporal externo</w:t>
            </w:r>
          </w:p>
        </w:tc>
        <w:tc>
          <w:tcPr>
            <w:tcW w:type="dxa" w:w="317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Campaña completa en fecha distinta, sin reutilizar episodios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 xml:space="preserve">: cero en la ficha de auditoría, cero en el eje de pertinencia y </w:t>
      </w:r>
      <w:r>
        <w:rPr>
          <w:rFonts w:ascii="Consolas" w:hAnsi="Consolas"/>
          <w:b w:val="0"/>
          <w:i/>
          <w:color w:val="131B2E"/>
          <w:sz w:val="18"/>
        </w:rPr>
        <w:t>D-18</w:t>
      </w:r>
      <w:r>
        <w:rPr>
          <w:b w:val="0"/>
          <w:i/>
          <w:color w:val="131B2E"/>
          <w:sz w:val="18"/>
        </w:rPr>
        <w:t xml:space="preserve">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5 ·  Amenazas a la validez (Threats to Validity)</w:t>
      </w: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  <w:t xml:space="preserve">La sesión advierte que esta sección es </w:t>
      </w:r>
      <w:r>
        <w:rPr>
          <w:b/>
          <w:i w:val="0"/>
          <w:color w:val="131B2E"/>
          <w:sz w:val="17"/>
        </w:rPr>
        <w:t>obligatoria en las revistas indexadas de Ingeniería de Software</w:t>
      </w:r>
      <w:r>
        <w:rPr>
          <w:b w:val="0"/>
          <w:i w:val="0"/>
          <w:color w:val="131B2E"/>
          <w:sz w:val="17"/>
        </w:rPr>
        <w:t>. Se declara aquí y se trasladará al artículo.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Tipo de amenaza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Amenaza concreta en este trabajo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mitiga o declara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El modelo se eligió observando el conjunto de prueba: </w:t>
            </w:r>
            <w:r>
              <w:rPr>
                <w:b/>
                <w:i w:val="0"/>
                <w:color w:val="131B2E"/>
                <w:sz w:val="16"/>
              </w:rPr>
              <w:t>selección posterior</w:t>
            </w:r>
            <w:r>
              <w:rPr>
                <w:b w:val="0"/>
                <w:i w:val="0"/>
                <w:color w:val="131B2E"/>
                <w:sz w:val="16"/>
              </w:rPr>
              <w:t>, la misma familia de error que el HARKing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Declarada en la </w:t>
            </w:r>
            <w:r>
              <w:rPr>
                <w:b w:val="0"/>
                <w:i/>
                <w:color w:val="131B2E"/>
                <w:sz w:val="16"/>
              </w:rPr>
              <w:t>model card</w:t>
            </w:r>
            <w:r>
              <w:rPr>
                <w:b w:val="0"/>
                <w:i w:val="0"/>
                <w:color w:val="131B2E"/>
                <w:sz w:val="16"/>
              </w:rPr>
              <w:t xml:space="preserve"> antes de cualquier métrica. La corrección exige evaluación nueva y reservada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Entorno artificial de laboratorio, un solo dataset y </w:t>
            </w:r>
            <w:r>
              <w:rPr>
                <w:b/>
                <w:i w:val="0"/>
                <w:color w:val="131B2E"/>
                <w:sz w:val="16"/>
              </w:rPr>
              <w:t>sin jornada de holdout externa</w:t>
            </w:r>
            <w:r>
              <w:rPr>
                <w:b w:val="0"/>
                <w:i w:val="0"/>
                <w:color w:val="131B2E"/>
                <w:sz w:val="16"/>
              </w:rPr>
              <w:t>: los 44 perfiles aparecen en las tres particiones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Se recolecta jornada nueva el 24 de octubre. Hasta entonces </w:t>
            </w:r>
            <w:r>
              <w:rPr>
                <w:b/>
                <w:i w:val="0"/>
                <w:color w:val="131B2E"/>
                <w:sz w:val="16"/>
              </w:rPr>
              <w:t>no se afirma generalización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conclusión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Los intervalos por ventana son </w:t>
            </w:r>
            <w:r>
              <w:rPr>
                <w:b/>
                <w:i w:val="0"/>
                <w:color w:val="131B2E"/>
                <w:sz w:val="16"/>
              </w:rPr>
              <w:t>descriptivos</w:t>
            </w:r>
            <w:r>
              <w:rPr>
                <w:b w:val="0"/>
                <w:i w:val="0"/>
                <w:color w:val="131B2E"/>
                <w:sz w:val="16"/>
              </w:rPr>
              <w:t>: las ventanas de un episodio comparten historia y no son observaciones independientes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como descriptivos, no como prueba inferencial; la comparación entre modelos usa McNemar con corrección de Holm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/>
                <w:color w:val="131B2E"/>
                <w:sz w:val="16"/>
              </w:rPr>
              <w:t>«¿el FPR de laboratorio mide el FPR de operación?»</w:t>
            </w:r>
            <w:r>
              <w:rPr>
                <w:b w:val="0"/>
                <w:i w:val="0"/>
                <w:color w:val="131B2E"/>
                <w:sz w:val="16"/>
              </w:rPr>
              <w:t xml:space="preserve"> — </w:t>
            </w:r>
            <w:r>
              <w:rPr>
                <w:b/>
                <w:i w:val="0"/>
                <w:color w:val="131B2E"/>
                <w:sz w:val="16"/>
              </w:rPr>
              <w:t>la medición dice que no</w:t>
            </w:r>
            <w:r>
              <w:rPr>
                <w:b w:val="0"/>
                <w:i w:val="0"/>
                <w:color w:val="131B2E"/>
                <w:sz w:val="16"/>
              </w:rPr>
              <w:t>: 4,71 % frente a 25,81 % (pase 1) y 22,97 % (pase 2)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ambos por separado y se declara la brecha como el hallazgo principal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6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