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0F8A7D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220" w:after="80"/>
      </w:pPr>
      <w:r>
        <w:rPr>
          <w:b/>
          <w:color w:val="0F8A7D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>, validado sobre tráfico real de laboratorio. Toda cifra procede de artefactos verificables; ninguna se transcribe a mano.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Criterio evaluado</w:t>
            </w:r>
          </w:p>
        </w:tc>
        <w:tc>
          <w:tcPr>
            <w:tcW w:type="dxa" w:w="306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Resultado obtenido</w:t>
            </w:r>
          </w:p>
        </w:tc>
        <w:tc>
          <w:tcPr>
            <w:tcW w:type="dxa" w:w="4309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 xml:space="preserve"> (p95 8,7 s)</w:t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0F8A7D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4,71 % [2,8–7,9] frente a 22,97 % [14,9–33,7]. </w:t>
            </w:r>
            <w:r>
              <w:rPr>
                <w:b/>
                <w:color w:val="131B2E"/>
                <w:sz w:val="16"/>
              </w:rPr>
              <w:t>Los intervalos no se solapan.</w:t>
            </w:r>
            <w:r>
              <w:rPr>
                <w:b w:val="0"/>
                <w:color w:val="131B2E"/>
                <w:sz w:val="16"/>
              </w:rPr>
              <w:t xml:space="preserve">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Sin validación cruzada ni banda para el umbral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umbral 1,8126 se reporta como valor puntual, sin variabilidad</w:t>
            </w:r>
          </w:p>
        </w:tc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511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1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0F8A7D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Pendiente, con plazo realista.</w:t>
      </w:r>
      <w:r>
        <w:rPr>
          <w:b w:val="0"/>
          <w:i w:val="0"/>
          <w:color w:val="131B2E"/>
          <w:sz w:val="18"/>
        </w:rPr>
        <w:t xml:space="preserve"> El orden responde a coste, no a comodidad: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24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Plazo</w:t>
            </w:r>
          </w:p>
        </w:tc>
        <w:tc>
          <w:tcPr>
            <w:tcW w:type="dxa" w:w="419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385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Por qué en ese orden</w:t>
            </w:r>
          </w:p>
        </w:tc>
      </w:tr>
      <w:tr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Horas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· banda del umbral por remuestreo · cerrar la matriz de requisitos</w:t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dependen de nadie más y usan el dataset ya publicado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Días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usuarios: SUS con 5–8 evaluadores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 el único cero absoluto que queda; una sesión lo convierte en evidencia</w:t>
            </w:r>
          </w:p>
        </w:tc>
      </w:tr>
      <w:tr>
        <w:tc>
          <w:tcPr>
            <w:tcW w:type="dxa" w:w="124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Semanas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19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Recalibrar incluyendo tráfico legítimo pesado y repetir la validación operativa</w:t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Única solución real al falso positivo del 23–26 %. Se declara como límite, no se simula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0F8A7D"/>
          <w:sz w:val="25"/>
        </w:rPr>
        <w:t>4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after="100"/>
        <w:jc w:val="both"/>
      </w:pPr>
      <w:r>
        <w:rPr>
          <w:b w:val="0"/>
          <w:i/>
          <w:color w:val="5B6B8C"/>
          <w:sz w:val="15"/>
        </w:rPr>
        <w:t>Detalle completo, con las 11 figuras y la trazabilidad de cada cifra, en informe-evaluacion-critica.md del repositorio del proyecto.</w:t>
      </w:r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