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Ficha de auditoría de validación — esquema del curso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Los seis criterios sobre 20 puntos de la Sesión 02. El análisis extenso de las secciones 1 a 3 los sustenta con 18 ítems sobre 51 puntos.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10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encontrada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Puntaje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estadística reportada (Alfa, Kappa u otra)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proporción, McNemar exacto con corrección de Holm sobre 21 comparaciones, ROC-AUC 0,974 y validación cruzada agrupada por episodio. Alfa no aplica: no hay escalas. Kappa no aplica: no hay jueces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 / 4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Método de validación de resultados declarado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Hold-out con partición disjunta por episodio, umbral calibrado solo con validation y evaluación bloqueada de un solo paso, con validación cruzada por episodio que la respalda. Falta la jornada de holdout temporal externa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 de sistema / determinismo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Reproducción bit a bit verificada: el umbral coincide en sus 16 dígitos y los 7 modelos reproducen el manifiesto. Las semillas aún no se declaran como protocolo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y/o código disponibles públicamente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Dataset, manifiesto y los 7 modelos candidatos publicados, verificables con sha256sum -c, bajo licencias MIT y CC BY 4.0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y dependencias documentadas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de scikit-learn y numpy registradas en el manifiesto congelado, con script de instalación idempotente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 / 3</w:t>
            </w:r>
          </w:p>
        </w:tc>
      </w:tr>
      <w:tr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 validada con usuarios o stakeholders reales</w:t>
            </w:r>
          </w:p>
        </w:tc>
        <w:tc>
          <w:tcPr>
            <w:tcW w:type="dxa" w:w="510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ninguna. Es la única ausencia total del producto</w:t>
            </w:r>
          </w:p>
        </w:tc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/ 3</w:t>
            </w:r>
          </w:p>
        </w:tc>
      </w:tr>
      <w:tr>
        <w:tc>
          <w:tcPr>
            <w:tcW w:type="dxa" w:w="2835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 / 20  ·  80 %</w:t>
            </w:r>
          </w:p>
        </w:tc>
      </w:tr>
    </w:tbl>
    <w:p>
      <w:pPr>
        <w:spacing w:after="120"/>
        <w:jc w:val="both"/>
      </w:pPr>
      <w:r>
        <w:rPr>
          <w:b/>
          <w:i/>
          <w:color w:val="5B6B8C"/>
          <w:sz w:val="20"/>
        </w:rPr>
        <w:t>El único cero es la validación con personas.</w:t>
      </w:r>
      <w:r>
        <w:rPr>
          <w:b w:val="0"/>
          <w:i/>
          <w:color w:val="5B6B8C"/>
          <w:sz w:val="20"/>
        </w:rPr>
        <w:t xml:space="preserve"> No se corrige documentando: exige evaluadores usando el panel. Una prueba de usabilidad con 5–8 participantes lo convierte en evidencia y eleva el total a 19 de 20.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Ejecutada, agrupada por episodio en 5 pliegues: la detección media cae dentro del intervalo de confianza de la evaluación de un solo paso, así que el resultado no depende de la partición elegida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de validación operativa con resultados equivalentes (25,8 % y 23,0 %) y remuestreo del umbral con B = 1 000: coeficiente de variación 4,10 %, por debajo del 5 % declarado de antemano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95 % en toda proporción y prueba de significancia entre modelos: McNemar exacto con corrección de Holm-Bonferroni sobre las 21 comparaciones por pares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12 / 15 puntos  =  80.0 %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La cuantificación de la incertidumbre pasó de parcial a completa: toda proporción lleva intervalo de Wilson y las comparaciones entre modelos tienen prueba de significancia. Lo que sigue faltando es </w:t>
      </w:r>
      <w:r>
        <w:rPr>
          <w:b/>
          <w:i w:val="0"/>
          <w:color w:val="131B2E"/>
          <w:sz w:val="20"/>
        </w:rPr>
        <w:t>validación cruzada sobre el modelo elegido</w:t>
      </w:r>
      <w:r>
        <w:rPr>
          <w:b w:val="0"/>
          <w:i w:val="0"/>
          <w:color w:val="131B2E"/>
          <w:sz w:val="20"/>
        </w:rPr>
        <w:t>; el acuerdo inter-evaluador no aplica porque el diseño no contempla jueces.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578 archivos versionados y 362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Publicados: dataset, manifiesto y los 7 modelos candidatos, con checksums verificables por sha256sum -c y licencias MIT para el código y CC BY 4.0 para los datos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declarado: qué componentes son estocásticos y cuáles no, con verificación de 10 ajustes repetidos que producen el mismo SHA-256 y el mismo umbral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datasheet documenta el procedimiento exacto de descarga, verificación y regeneración; queda pendiente el manual de instalación desde cero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18 / 18 puntos  =  100.0 %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producto, y la que más subió: la publicación del dataset y de los siete modelos con checksums y licencias cerró la única brecha que quedaba. Un tercero puede hoy clonar el repositorio y reproducir el umbral en sus 16 dígitos.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Matriz cerrada: cada requisito está cumplido con evidencia enlazada, cumplido con una reserva medida, o declarado pendiente con lo que concretamente falta. Ninguna fila queda en Planificado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12 / 18 puntos  =  66.7 %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100.0 %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66.7 %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82.4 %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82.4 %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Siete ítems subieron desde la primera auditoría</w:t>
      </w:r>
      <w:r>
        <w:rPr>
          <w:b w:val="0"/>
          <w:i w:val="0"/>
          <w:color w:val="131B2E"/>
          <w:sz w:val="20"/>
        </w:rPr>
        <w:t>, todos con evidencia publicada y ninguno con experimentación nueva.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5783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ejecutada</w:t>
            </w:r>
          </w:p>
        </w:tc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Ítem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el dataset, el manifiesto y los 7 modelos con checksums y licencias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Wilson en toda proporción y McNemar con corrección de Holm</w:t>
            </w:r>
          </w:p>
        </w:tc>
        <w:tc>
          <w:tcPr>
            <w:tcW w:type="dxa" w:w="102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agrupada por episodio sobre el modelo congelado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  <w:tr>
        <w:tc>
          <w:tcPr>
            <w:tcW w:type="dxa" w:w="5783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Remuestreo del umbral con B = 1 000; coeficiente de variación 4,10 %</w:t>
            </w:r>
          </w:p>
        </w:tc>
        <w:tc>
          <w:tcPr>
            <w:tcW w:type="dxa" w:w="102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Protocolo de determinismo, verificado con 10 ajustes de SHA-256 idéntico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el procedimiento de descarga, verificación y regeneración</w:t>
            </w:r>
          </w:p>
        </w:tc>
        <w:tc>
          <w:tcPr>
            <w:tcW w:type="dxa" w:w="102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</w:tr>
      <w:tr>
        <w:tc>
          <w:tcPr>
            <w:tcW w:type="dxa" w:w="5783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la matriz de trazabilidad de requisitos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</w:tr>
    </w:tbl>
    <w:p>
      <w:pPr>
        <w:spacing w:after="120"/>
        <w:jc w:val="both"/>
      </w:pPr>
      <w:r>
        <w:rPr>
          <w:b/>
          <w:i w:val="0"/>
          <w:color w:val="131B2E"/>
          <w:sz w:val="20"/>
        </w:rPr>
        <w:t>Efecto acumulado: de 32/51 (62,7 %) a 42/51 (82.4 %).</w:t>
      </w:r>
    </w:p>
    <w:p/>
    <w:p>
      <w:pPr>
        <w:spacing w:after="120"/>
        <w:jc w:val="both"/>
      </w:pPr>
      <w:r>
        <w:rPr>
          <w:b/>
          <w:i w:val="0"/>
          <w:color w:val="131B2E"/>
          <w:sz w:val="20"/>
        </w:rPr>
        <w:t>Lo que queda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532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 pendiente</w:t>
            </w:r>
          </w:p>
        </w:tc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**Aplicar un instrumento validado (SUS) con 5–8 evaluadores sobre el panel**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3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Sesión de juicio experto con 3 evaluadores</w:t>
            </w:r>
          </w:p>
        </w:tc>
        <w:tc>
          <w:tcPr>
            <w:tcW w:type="dxa" w:w="102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  <w:tr>
        <w:tc>
          <w:tcPr>
            <w:tcW w:type="dxa" w:w="532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Acuerdo inter-evaluador, si se incorpora doble etiquetado independiente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El puntaje ya no lo frena la evidencia técnica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replicabilidad está en </w:t>
            </w:r>
            <w:r>
              <w:rPr>
                <w:b/>
                <w:color w:val="131B2E"/>
                <w:sz w:val="19"/>
              </w:rPr>
              <w:t>100 %</w:t>
            </w:r>
            <w:r>
              <w:rPr>
                <w:b w:val="0"/>
                <w:color w:val="131B2E"/>
                <w:sz w:val="19"/>
              </w:rPr>
              <w:t xml:space="preserve"> y la confiabilidad en </w:t>
            </w:r>
            <w:r>
              <w:rPr>
                <w:b/>
                <w:color w:val="131B2E"/>
                <w:sz w:val="19"/>
              </w:rPr>
              <w:t>80 %</w:t>
            </w:r>
            <w:r>
              <w:rPr>
                <w:b w:val="0"/>
                <w:color w:val="131B2E"/>
                <w:sz w:val="19"/>
              </w:rPr>
              <w:t xml:space="preserve">. Los tres ítems que quedan miden </w:t>
            </w:r>
            <w:r>
              <w:rPr>
                <w:b/>
                <w:color w:val="131B2E"/>
                <w:sz w:val="19"/>
              </w:rPr>
              <w:t>lo que otras personas opinan del producto</w:t>
            </w:r>
            <w:r>
              <w:rPr>
                <w:b w:val="0"/>
                <w:color w:val="131B2E"/>
                <w:sz w:val="19"/>
              </w:rPr>
              <w:t xml:space="preserve">, y ninguno se corrige escribiendo. Con solo la prueba de usabilidad el puntaje llegaría a </w:t>
            </w:r>
            <w:r>
              <w:rPr>
                <w:b/>
                <w:color w:val="131B2E"/>
                <w:sz w:val="19"/>
              </w:rPr>
              <w:t>45/51 (88.2 %)</w:t>
            </w:r>
            <w:r>
              <w:rPr>
                <w:b w:val="0"/>
                <w:color w:val="131B2E"/>
                <w:sz w:val="19"/>
              </w:rPr>
              <w:t xml:space="preserve">; con los tres, a </w:t>
            </w:r>
            <w:r>
              <w:rPr>
                <w:b/>
                <w:color w:val="131B2E"/>
                <w:sz w:val="19"/>
              </w:rPr>
              <w:t>49/51 (96.1 %)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578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Ficha de auditoría del producto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auditoría del producto</dc:title>
  <dc:subject>Auditoría de confiabilidad, replicabilidad y pertinencia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