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33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3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color w:val="131B2E"/>
          <w:sz w:val="20"/>
        </w:rPr>
        <w:t>Universidad Peruana Unión</w:t>
      </w:r>
    </w:p>
    <w:p>
      <w:pPr>
        <w:spacing w:after="20"/>
        <w:jc w:val="center"/>
      </w:pPr>
      <w:r>
        <w:rPr>
          <w:b w:val="0"/>
          <w:color w:val="5B6B8C"/>
          <w:sz w:val="17"/>
        </w:rPr>
        <w:t>Facultad de Ingeniería y Arquitectura · E.P. de Ingeniería de Sistemas</w:t>
      </w:r>
    </w:p>
    <w:p>
      <w:pPr>
        <w:spacing w:after="20"/>
        <w:jc w:val="center"/>
      </w:pPr>
      <w:r>
        <w:rPr>
          <w:b w:val="0"/>
          <w:color w:val="5B6B8C"/>
          <w:sz w:val="17"/>
        </w:rPr>
        <w:t>Investigación V · Sesión 02</w:t>
      </w:r>
    </w:p>
    <w:p>
      <w:pPr>
        <w:spacing w:before="160" w:after="40"/>
        <w:jc w:val="center"/>
      </w:pPr>
      <w:r>
        <w:rPr>
          <w:b/>
          <w:color w:val="0F8A7D"/>
          <w:sz w:val="30"/>
        </w:rPr>
        <w:t>PLAN DE VALIDACIÓN DE RESULTADOS</w:t>
      </w:r>
    </w:p>
    <w:p>
      <w:pPr>
        <w:spacing w:after="160"/>
        <w:jc w:val="center"/>
      </w:pPr>
      <w:r>
        <w:rPr>
          <w:color w:val="5B6B8C"/>
          <w:sz w:val="18"/>
        </w:rPr>
        <w:t>Sistema open source para la detección temprana de comportamientos anómalos en redes de datos</w:t>
        <w:br/>
        <w:t>Rubén Mark Salazar Tocas · Uziel Elias Sauñe Fernandez</w:t>
      </w:r>
    </w:p>
    <w:p>
      <w:pPr>
        <w:spacing w:after="100"/>
        <w:jc w:val="both"/>
      </w:pPr>
      <w:r>
        <w:rPr>
          <w:b w:val="0"/>
          <w:i w:val="0"/>
          <w:color w:val="131B2E"/>
          <w:sz w:val="18"/>
        </w:rPr>
        <w:t xml:space="preserve">El producto es un sistema desplegado que </w:t>
      </w:r>
      <w:r>
        <w:rPr>
          <w:b/>
          <w:i w:val="0"/>
          <w:color w:val="131B2E"/>
          <w:sz w:val="18"/>
        </w:rPr>
        <w:t>decide y bloquea tráfico en tiempo real</w:t>
      </w:r>
      <w:r>
        <w:rPr>
          <w:b w:val="0"/>
          <w:i w:val="0"/>
          <w:color w:val="131B2E"/>
          <w:sz w:val="18"/>
        </w:rPr>
        <w:t xml:space="preserve">, no un instrumento de medición por escalas. Por eso la confiabilidad se valida sobre las decisiones del modelo y el determinismo del sistema: no existen ítems de escala que correlacionar, así que </w:t>
      </w:r>
      <w:r>
        <w:rPr>
          <w:b/>
          <w:i w:val="0"/>
          <w:color w:val="131B2E"/>
          <w:sz w:val="18"/>
        </w:rPr>
        <w:t>Alfa de Cronbach no aplica</w:t>
      </w:r>
      <w:r>
        <w:rPr>
          <w:b w:val="0"/>
          <w:i w:val="0"/>
          <w:color w:val="131B2E"/>
          <w:sz w:val="18"/>
        </w:rPr>
        <w:t xml:space="preserve"> al producto.</w:t>
      </w:r>
    </w:p>
    <w:p>
      <w:pPr>
        <w:spacing w:before="200" w:after="80"/>
      </w:pPr>
      <w:r>
        <w:rPr>
          <w:b/>
          <w:color w:val="0F8A7D"/>
          <w:sz w:val="25"/>
        </w:rPr>
        <w:t>1 · Confiabilidad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438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2551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  <w:t>Aplicada a</w:t>
            </w:r>
          </w:p>
        </w:tc>
        <w:tc>
          <w:tcPr>
            <w:tcW w:type="dxa" w:w="4876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  <w:t>Umbral aceptable</w:t>
            </w:r>
          </w:p>
        </w:tc>
      </w:tr>
      <w:tr>
        <w:tc>
          <w:tcPr>
            <w:tcW w:type="dxa" w:w="2438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Intervalo de Wilson 95 %</w:t>
            </w:r>
            <w:r>
              <w:rPr>
                <w:b w:val="0"/>
                <w:color w:val="131B2E"/>
                <w:sz w:val="16"/>
              </w:rPr>
              <w:t xml:space="preserve">  ✔</w:t>
            </w:r>
          </w:p>
        </w:tc>
        <w:tc>
          <w:tcPr>
            <w:tcW w:type="dxa" w:w="2551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Toda proporción reportada</w:t>
            </w:r>
          </w:p>
        </w:tc>
        <w:tc>
          <w:tcPr>
            <w:tcW w:type="dxa" w:w="4876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 xml:space="preserve">Se reporta </w:t>
            </w:r>
            <w:r>
              <w:rPr>
                <w:b/>
                <w:color w:val="131B2E"/>
                <w:sz w:val="16"/>
              </w:rPr>
              <w:t>siempre</w:t>
            </w:r>
            <w:r>
              <w:rPr>
                <w:b w:val="0"/>
                <w:color w:val="131B2E"/>
                <w:sz w:val="16"/>
              </w:rPr>
              <w:t>; una familia con n &lt; 10 no sostiene conclusión propia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McNemar exacto + Holm</w:t>
            </w:r>
            <w:r>
              <w:rPr>
                <w:b w:val="0"/>
                <w:color w:val="131B2E"/>
                <w:sz w:val="16"/>
              </w:rPr>
              <w:t xml:space="preserve">  ✔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Pares de modelos y de configuraciones de variables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p &lt; 0,05 tras corregir.</w:t>
            </w:r>
            <w:r>
              <w:rPr>
                <w:b w:val="0"/>
                <w:color w:val="131B2E"/>
                <w:sz w:val="16"/>
              </w:rPr>
              <w:t xml:space="preserve"> Sin corrección, 21 comparaciones dan ≈66 % de probabilidad de un falso hallazgo</w:t>
            </w:r>
          </w:p>
        </w:tc>
      </w:tr>
      <w:tr>
        <w:tc>
          <w:tcPr>
            <w:tcW w:type="dxa" w:w="2438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Validación cruzada agrupada por episodio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2551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Modelo congelado OCSVM</w:t>
            </w:r>
          </w:p>
        </w:tc>
        <w:tc>
          <w:tcPr>
            <w:tcW w:type="dxa" w:w="4876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 xml:space="preserve">La detección media de los pliegues debe caer </w:t>
            </w:r>
            <w:r>
              <w:rPr>
                <w:b/>
                <w:color w:val="131B2E"/>
                <w:sz w:val="16"/>
              </w:rPr>
              <w:t>dentro del intervalo de Wilson</w:t>
            </w:r>
            <w:r>
              <w:rPr>
                <w:b w:val="0"/>
                <w:color w:val="131B2E"/>
                <w:sz w:val="16"/>
              </w:rPr>
              <w:t xml:space="preserve"> de la evaluación de un solo paso</w:t>
            </w:r>
          </w:p>
        </w:tc>
      </w:tr>
      <w:tr>
        <w:tc>
          <w:tcPr>
            <w:tcW w:type="dxa" w:w="2438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Bootstrap por episodio</w:t>
            </w:r>
            <w:r>
              <w:rPr>
                <w:b w:val="0"/>
                <w:color w:val="131B2E"/>
                <w:sz w:val="16"/>
              </w:rPr>
              <w:t>, B = 1 000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Umbral 1,8126087939765134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Coeficiente de variación &lt; 5 %</w:t>
            </w:r>
            <w:r>
              <w:rPr>
                <w:b w:val="0"/>
                <w:color w:val="131B2E"/>
                <w:sz w:val="16"/>
              </w:rPr>
              <w:t>; por encima se reporta como banda, no como valor puntual</w:t>
            </w:r>
          </w:p>
        </w:tc>
      </w:tr>
      <w:tr>
        <w:tc>
          <w:tcPr>
            <w:tcW w:type="dxa" w:w="2438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Determinismo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2551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Ajuste completo del modelo</w:t>
            </w:r>
          </w:p>
        </w:tc>
        <w:tc>
          <w:tcPr>
            <w:tcW w:type="dxa" w:w="4876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SHA-256 idéntico</w:t>
            </w:r>
            <w:r>
              <w:rPr>
                <w:b w:val="0"/>
                <w:color w:val="131B2E"/>
                <w:sz w:val="16"/>
              </w:rPr>
              <w:t xml:space="preserve"> del .joblib en 10 ejecuciones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rPr>
          <w:b w:val="0"/>
          <w:i/>
          <w:color w:val="5B6B8C"/>
          <w:sz w:val="16"/>
        </w:rPr>
        <w:t>Wilson se prefiere al intervalo normal con proporciones extremas y muestras pequeñas —el caso de las familias con n = 6—. McNemar es la prueba pareada correcta porque ambos modelos se evalúan sobre las mismas ventanas, y la binomial exacta evita la aproximación ji² con recuentos bajos. Agrupar por episodio es obligatorio: las ventanas del mismo episodio se solapan y repartirlas al azar produciría fuga.</w:t>
      </w:r>
    </w:p>
    <w:p>
      <w:pPr>
        <w:spacing w:before="200" w:after="80"/>
      </w:pPr>
      <w:r>
        <w:rPr>
          <w:b/>
          <w:color w:val="0F8A7D"/>
          <w:sz w:val="25"/>
        </w:rPr>
        <w:t>2 · Replicabilidad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400"/>
        <w:gridCol w:w="3400"/>
      </w:tblGrid>
      <w:tr>
        <w:tc>
          <w:tcPr>
            <w:tcW w:type="dxa" w:w="3175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329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  <w:t>Dónde</w:t>
            </w:r>
          </w:p>
        </w:tc>
        <w:tc>
          <w:tcPr>
            <w:tcW w:type="dxa" w:w="1361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3175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Código</w:t>
            </w:r>
          </w:p>
        </w:tc>
        <w:tc>
          <w:tcPr>
            <w:tcW w:type="dxa" w:w="5329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 xml:space="preserve">GitHub, licencia </w:t>
            </w:r>
            <w:r>
              <w:rPr>
                <w:b/>
                <w:color w:val="131B2E"/>
                <w:sz w:val="16"/>
              </w:rPr>
              <w:t>MIT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✔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 xml:space="preserve">Dataset, manifiesto y </w:t>
            </w:r>
            <w:r>
              <w:rPr>
                <w:b/>
                <w:color w:val="131B2E"/>
                <w:sz w:val="16"/>
              </w:rPr>
              <w:t>los 7 modelos candidatos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 xml:space="preserve">Mismo repositorio, licencia </w:t>
            </w:r>
            <w:r>
              <w:rPr>
                <w:b/>
                <w:color w:val="131B2E"/>
                <w:sz w:val="16"/>
              </w:rPr>
              <w:t>CC BY 4.0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✔</w:t>
            </w:r>
          </w:p>
        </w:tc>
      </w:tr>
      <w:tr>
        <w:tc>
          <w:tcPr>
            <w:tcW w:type="dxa" w:w="3175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Integridad</w:t>
            </w:r>
          </w:p>
        </w:tc>
        <w:tc>
          <w:tcPr>
            <w:tcW w:type="dxa" w:w="5329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sha256sum -c docs/dataset/SHA256SUMS</w:t>
            </w:r>
          </w:p>
        </w:tc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✔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Entorno</w:t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Versiones exactas de scikit-learn y numpy en el manifiesto congelado</w:t>
            </w:r>
          </w:p>
        </w:tc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✔</w:t>
            </w:r>
          </w:p>
        </w:tc>
      </w:tr>
      <w:tr>
        <w:tc>
          <w:tcPr>
            <w:tcW w:type="dxa" w:w="3175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Documentación</w:t>
            </w:r>
          </w:p>
        </w:tc>
        <w:tc>
          <w:tcPr>
            <w:tcW w:type="dxa" w:w="5329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Datasheet de 11 secciones, model card, system card y diccionario de las 28 variables</w:t>
            </w:r>
          </w:p>
        </w:tc>
        <w:tc>
          <w:tcPr>
            <w:tcW w:type="dxa" w:w="1361"/>
            <w:shd w:val="clear" w:fill="E0F3E6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✔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Depósito citable con DOI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5329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Zenodo, versionado y enlazado al repositorio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pendiente</w:t>
            </w:r>
          </w:p>
        </w:tc>
      </w:tr>
      <w:tr>
        <w:tc>
          <w:tcPr>
            <w:tcW w:type="dxa" w:w="3175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Semillas y determinismo como protocolo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5329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Protocolo de modelado</w:t>
            </w:r>
          </w:p>
        </w:tc>
        <w:tc>
          <w:tcPr>
            <w:tcW w:type="dxa" w:w="1361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pendiente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rPr>
          <w:b w:val="0"/>
          <w:i w:val="0"/>
          <w:color w:val="131B2E"/>
          <w:sz w:val="18"/>
        </w:rPr>
      </w:r>
      <w:r>
        <w:rPr>
          <w:b/>
          <w:i w:val="0"/>
          <w:color w:val="131B2E"/>
          <w:sz w:val="18"/>
        </w:rPr>
        <w:t>Umbral aceptable:</w:t>
      </w:r>
      <w:r>
        <w:rPr>
          <w:b w:val="0"/>
          <w:i w:val="0"/>
          <w:color w:val="131B2E"/>
          <w:sz w:val="18"/>
        </w:rPr>
        <w:t xml:space="preserve"> quien clone el repositorio debe reproducir el umbral 1,8126087939765134 </w:t>
      </w:r>
      <w:r>
        <w:rPr>
          <w:b/>
          <w:i w:val="0"/>
          <w:color w:val="131B2E"/>
          <w:sz w:val="18"/>
        </w:rPr>
        <w:t>en sus 16 dígitos</w:t>
      </w:r>
      <w:r>
        <w:rPr>
          <w:b w:val="0"/>
          <w:i w:val="0"/>
          <w:color w:val="131B2E"/>
          <w:sz w:val="18"/>
        </w:rPr>
        <w:t xml:space="preserve"> y los recuentos 13/276 de falso positivo y 158/179 de detección. Cualquier desviación invalida la replicación. El criterio ya se cumple internamente: los siete modelos publicados, recargados y verificados por SHA-256, reproducen el manifiesto de forma exacta.</w:t>
      </w:r>
    </w:p>
    <w:p>
      <w:pPr>
        <w:spacing w:before="200" w:after="80"/>
      </w:pPr>
      <w:r>
        <w:rPr>
          <w:b/>
          <w:color w:val="0F8A7D"/>
          <w:sz w:val="25"/>
        </w:rPr>
        <w:t>3 · Pertinencia</w:t>
      </w:r>
    </w:p>
    <w:p>
      <w:pPr>
        <w:spacing w:after="60"/>
        <w:jc w:val="both"/>
      </w:pPr>
      <w:r>
        <w:rPr>
          <w:b w:val="0"/>
          <w:i w:val="0"/>
          <w:color w:val="131B2E"/>
          <w:sz w:val="18"/>
        </w:rPr>
        <w:t xml:space="preserve">Es el </w:t>
      </w:r>
      <w:r>
        <w:rPr>
          <w:b/>
          <w:i w:val="0"/>
          <w:color w:val="131B2E"/>
          <w:sz w:val="18"/>
        </w:rPr>
        <w:t>único eje sin evidencia</w:t>
      </w:r>
      <w:r>
        <w:rPr>
          <w:b w:val="0"/>
          <w:i w:val="0"/>
          <w:color w:val="131B2E"/>
          <w:sz w:val="18"/>
        </w:rPr>
        <w:t xml:space="preserve"> a la fecha.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041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855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  <w:t>Instrumento</w:t>
            </w:r>
          </w:p>
        </w:tc>
        <w:tc>
          <w:tcPr>
            <w:tcW w:type="dxa" w:w="3969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  <w:t>Umbral aceptable</w:t>
            </w:r>
          </w:p>
        </w:tc>
      </w:tr>
      <w:tr>
        <w:tc>
          <w:tcPr>
            <w:tcW w:type="dxa" w:w="2041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Prueba de usabilidad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3855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 xml:space="preserve">System Usability Scale, 10 ítems, </w:t>
            </w:r>
            <w:r>
              <w:rPr>
                <w:b/>
                <w:color w:val="131B2E"/>
                <w:sz w:val="16"/>
              </w:rPr>
              <w:t>5–8 evaluadores</w:t>
            </w:r>
            <w:r>
              <w:rPr>
                <w:b w:val="0"/>
                <w:color w:val="131B2E"/>
                <w:sz w:val="16"/>
              </w:rPr>
              <w:t xml:space="preserve"> con perfil de administración de redes</w:t>
            </w:r>
          </w:p>
        </w:tc>
        <w:tc>
          <w:tcPr>
            <w:tcW w:type="dxa" w:w="3969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SUS ≥ 68</w:t>
            </w:r>
            <w:r>
              <w:rPr>
                <w:b w:val="0"/>
                <w:color w:val="131B2E"/>
                <w:sz w:val="16"/>
              </w:rPr>
              <w:t>, media de referencia de la literatura. Por debajo, se rediseña el panel antes de la defensa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Tareas observadas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4 tareas: localizar una IP bloqueada, leer su expiración, distinguir alerta del modelo de alerta heurística, verificar servicios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Tasa de éxito ≥ 80 %</w:t>
            </w:r>
            <w:r>
              <w:rPr>
                <w:b w:val="0"/>
                <w:color w:val="131B2E"/>
                <w:sz w:val="16"/>
              </w:rPr>
              <w:t xml:space="preserve"> sin ayuda del observador</w:t>
            </w:r>
          </w:p>
        </w:tc>
      </w:tr>
      <w:tr>
        <w:tc>
          <w:tcPr>
            <w:tcW w:type="dxa" w:w="2041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Entrevista semiestructurada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3855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2–3 interesados: asesores y responsable de red</w:t>
            </w:r>
          </w:p>
        </w:tc>
        <w:tc>
          <w:tcPr>
            <w:tcW w:type="dxa" w:w="3969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Necesidades cubiertas y no cubiertas; evidencia cualitativa, sin umbral numérico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Trazabilidad de requisitos</w:t>
            </w:r>
            <w:r>
              <w:rPr>
                <w:b w:val="0"/>
                <w:color w:val="131B2E"/>
                <w:sz w:val="16"/>
              </w:rPr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Matriz de requisitos del jurado frente a la solución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</w:r>
            <w:r>
              <w:rPr>
                <w:b/>
                <w:color w:val="131B2E"/>
                <w:sz w:val="16"/>
              </w:rPr>
              <w:t>100 % de filas cerradas</w:t>
            </w:r>
            <w:r>
              <w:rPr>
                <w:b w:val="0"/>
                <w:color w:val="131B2E"/>
                <w:sz w:val="16"/>
              </w:rPr>
              <w:t>: con evidencia o declaradas fuera de alcance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rPr>
          <w:b w:val="0"/>
          <w:i/>
          <w:color w:val="5B6B8C"/>
          <w:sz w:val="16"/>
        </w:rPr>
        <w:t>Se usa SUS y no una encuesta propia porque es un instrumento validado, con baremo publicado, aplicable con muestras pequeñas y comparable con otros estudios.</w:t>
      </w:r>
    </w:p>
    <w:p>
      <w:pPr>
        <w:spacing w:before="200" w:after="80"/>
      </w:pPr>
      <w:r>
        <w:rPr>
          <w:b/>
          <w:color w:val="0F8A7D"/>
          <w:sz w:val="25"/>
        </w:rPr>
        <w:t>Cronograma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737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  <w:t>Sem.</w:t>
            </w:r>
          </w:p>
        </w:tc>
        <w:tc>
          <w:tcPr>
            <w:tcW w:type="dxa" w:w="1587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  <w:t>Eje</w:t>
            </w:r>
          </w:p>
        </w:tc>
        <w:tc>
          <w:tcPr>
            <w:tcW w:type="dxa" w:w="3742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798"/>
            <w:shd w:val="clear" w:fill="0F8A7D"/>
          </w:tcPr>
          <w:p>
            <w:r/>
            <w:r>
              <w:rPr>
                <w:b/>
                <w:color w:val="FFFFFF"/>
                <w:sz w:val="16"/>
              </w:rPr>
              <w:t>Producto verificable</w:t>
            </w:r>
          </w:p>
        </w:tc>
      </w:tr>
      <w:tr>
        <w:tc>
          <w:tcPr>
            <w:tcW w:type="dxa" w:w="737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1</w:t>
            </w:r>
          </w:p>
        </w:tc>
        <w:tc>
          <w:tcPr>
            <w:tcW w:type="dxa" w:w="1587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Confiabilidad</w:t>
            </w:r>
          </w:p>
        </w:tc>
        <w:tc>
          <w:tcPr>
            <w:tcW w:type="dxa" w:w="3742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Validación cruzada por episodio y bootstrap del umbral</w:t>
            </w:r>
          </w:p>
        </w:tc>
        <w:tc>
          <w:tcPr>
            <w:tcW w:type="dxa" w:w="3798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Media y desviación por pliegue; banda del umbral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Replicabilidad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Declarar semillas y determinismo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Sección en el protocolo de modelado</w:t>
            </w:r>
          </w:p>
        </w:tc>
      </w:tr>
      <w:tr>
        <w:tc>
          <w:tcPr>
            <w:tcW w:type="dxa" w:w="737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2</w:t>
            </w:r>
          </w:p>
        </w:tc>
        <w:tc>
          <w:tcPr>
            <w:tcW w:type="dxa" w:w="1587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Pertinencia</w:t>
            </w:r>
          </w:p>
        </w:tc>
        <w:tc>
          <w:tcPr>
            <w:tcW w:type="dxa" w:w="3742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Diseñar instrumento y guion de tareas; reclutar evaluadores</w:t>
            </w:r>
          </w:p>
        </w:tc>
        <w:tc>
          <w:tcPr>
            <w:tcW w:type="dxa" w:w="3798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Instrumento SUS y guion de sesión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2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Replicabilidad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Depósito en Zenodo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DOI citable</w:t>
            </w:r>
          </w:p>
        </w:tc>
      </w:tr>
      <w:tr>
        <w:tc>
          <w:tcPr>
            <w:tcW w:type="dxa" w:w="737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3</w:t>
            </w:r>
          </w:p>
        </w:tc>
        <w:tc>
          <w:tcPr>
            <w:tcW w:type="dxa" w:w="1587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Pertinencia</w:t>
            </w:r>
          </w:p>
        </w:tc>
        <w:tc>
          <w:tcPr>
            <w:tcW w:type="dxa" w:w="3742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Ejecutar sesiones de usabilidad y entrevistas</w:t>
            </w:r>
          </w:p>
        </w:tc>
        <w:tc>
          <w:tcPr>
            <w:tcW w:type="dxa" w:w="3798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Puntaje SUS, tiempos y tasa de éxito</w:t>
            </w:r>
          </w:p>
        </w:tc>
      </w:tr>
      <w:tr>
        <w:tc>
          <w:tcPr>
            <w:tcW w:type="dxa" w:w="73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3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Pertinencia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Cerrar la matriz de trazabilidad</w:t>
            </w:r>
          </w:p>
        </w:tc>
        <w:tc>
          <w:tcPr>
            <w:tcW w:type="dxa" w:w="3798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Matriz sin filas abiertas</w:t>
            </w:r>
          </w:p>
        </w:tc>
      </w:tr>
      <w:tr>
        <w:tc>
          <w:tcPr>
            <w:tcW w:type="dxa" w:w="737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4</w:t>
            </w:r>
          </w:p>
        </w:tc>
        <w:tc>
          <w:tcPr>
            <w:tcW w:type="dxa" w:w="1587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Los tres</w:t>
            </w:r>
          </w:p>
        </w:tc>
        <w:tc>
          <w:tcPr>
            <w:tcW w:type="dxa" w:w="3742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Integrar la validación al artículo y a la tesis</w:t>
            </w:r>
          </w:p>
        </w:tc>
        <w:tc>
          <w:tcPr>
            <w:tcW w:type="dxa" w:w="3798"/>
            <w:shd w:val="clear" w:fill="F4F6FB"/>
          </w:tcPr>
          <w:p>
            <w:pPr>
              <w:spacing w:after="20"/>
            </w:pPr>
            <w:r/>
            <w:r>
              <w:rPr>
                <w:b w:val="0"/>
                <w:color w:val="131B2E"/>
                <w:sz w:val="16"/>
              </w:rPr>
              <w:t>Sección de validación y limitaciones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rPr>
          <w:b w:val="0"/>
          <w:i/>
          <w:color w:val="5B6B8C"/>
          <w:sz w:val="16"/>
        </w:rPr>
        <w:t>El orden responde a dependencias: confiabilidad va primero porque no necesita a nadie más; pertinencia ocupa dos semanas porque depende de coordinar personas.</w:t>
      </w:r>
    </w:p>
    <w:p>
      <w:pPr>
        <w:spacing w:before="200" w:after="80"/>
      </w:pPr>
      <w:r>
        <w:rPr>
          <w:b/>
          <w:color w:val="0F8A7D"/>
          <w:sz w:val="25"/>
        </w:rPr>
        <w:t>Fuera del alcance de este plan</w:t>
      </w:r>
    </w:p>
    <w:p>
      <w:pPr>
        <w:spacing w:after="100"/>
        <w:jc w:val="both"/>
      </w:pPr>
      <w:r>
        <w:rPr>
          <w:b w:val="0"/>
          <w:i w:val="0"/>
          <w:color w:val="131B2E"/>
          <w:sz w:val="18"/>
        </w:rPr>
        <w:t xml:space="preserve">El </w:t>
      </w:r>
      <w:r>
        <w:rPr>
          <w:b/>
          <w:i w:val="0"/>
          <w:color w:val="131B2E"/>
          <w:sz w:val="18"/>
        </w:rPr>
        <w:t>falso positivo operativo de 23–26 %</w:t>
      </w:r>
      <w:r>
        <w:rPr>
          <w:b w:val="0"/>
          <w:i w:val="0"/>
          <w:color w:val="131B2E"/>
          <w:sz w:val="18"/>
        </w:rPr>
        <w:t xml:space="preserve"> sobre tráfico legítimo pesado exige recalibrar con ese tráfico como normalidad y repetir la validación: semanas. La </w:t>
      </w:r>
      <w:r>
        <w:rPr>
          <w:b/>
          <w:i w:val="0"/>
          <w:color w:val="131B2E"/>
          <w:sz w:val="18"/>
        </w:rPr>
        <w:t>selección posterior del modelo</w:t>
      </w:r>
      <w:r>
        <w:rPr>
          <w:b w:val="0"/>
          <w:i w:val="0"/>
          <w:color w:val="131B2E"/>
          <w:sz w:val="18"/>
        </w:rPr>
        <w:t xml:space="preserve"> exige un protocolo nuevo con evaluación reservada. Ambas se declaran como límite, no se simulan.</w:t>
      </w:r>
    </w:p>
    <w:p>
      <w:pPr>
        <w:spacing w:after="100"/>
        <w:jc w:val="both"/>
      </w:pPr>
      <w:r>
        <w:rPr>
          <w:b w:val="0"/>
          <w:i/>
          <w:color w:val="5B6B8C"/>
          <w:sz w:val="16"/>
        </w:rPr>
        <w:t>✔ = ya ejecutado y publicado.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200"/>
      </w:tabs>
    </w:pPr>
    <w:r/>
    <w:r>
      <w:rPr>
        <w:color w:val="5B6B8C"/>
        <w:sz w:val="14"/>
      </w:rPr>
      <w:t>Plan de validación de resultados · Salazar Tocas &amp; Sauñe Fernandez</w:t>
      <w:tab/>
    </w:r>
    <w:r>
      <w:rPr>
        <w:color w:val="5B6B8C"/>
        <w:sz w:val="14"/>
      </w:rPr>
      <w:t xml:space="preserve">Página </w:t>
    </w:r>
    <w:r>
      <w:rPr>
        <w:color w:val="5B6B8C"/>
        <w:sz w:val="14"/>
      </w:rPr>
      <w:fldChar w:fldCharType="begin"/>
      <w:instrText xml:space="preserve"> PAGE </w:instrText>
      <w:fldChar w:fldCharType="end"/>
    </w:r>
    <w:r>
      <w:rPr>
        <w:color w:val="5B6B8C"/>
        <w:sz w:val="14"/>
      </w:rPr>
      <w:t xml:space="preserve"> de </w:t>
    </w:r>
    <w:r>
      <w:rPr>
        <w:color w:val="5B6B8C"/>
        <w:sz w:val="14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BFBFBF" w:space="3"/>
      </w:pBdr>
    </w:pPr>
    <w:r/>
    <w:r>
      <w:rPr>
        <w:i/>
        <w:color w:val="5B6B8C"/>
        <w:sz w:val="14"/>
      </w:rPr>
      <w:t>Investigación V · Sesión 02 · UPeU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validación de resultados</dc:title>
  <dc:subject>Método y umbral por cada eje de validación, con cronograma</dc:subject>
  <dc:creator>Rubén Mark Salazar Tocas; Uziel Elias Sauñe Fernandez</dc:creator>
  <cp:keywords>detección de anomalías; seguridad de redes; aprendizaje no supervisado; OCSVM</cp:keywords>
  <dc:description>Documento generado por script desde los artefactos del proyecto; ninguna cifra se transcribe a mano.</dc:description>
  <cp:lastModifiedBy>Rubén Mark Salazar Tocas; Uziel Elias Sauñe Fernandez</cp:lastModifiedBy>
  <cp:revision>1</cp:revision>
  <dcterms:created xsi:type="dcterms:W3CDTF">2013-12-23T23:15:00Z</dcterms:created>
  <dcterms:modified xsi:type="dcterms:W3CDTF">2013-12-23T23:15:00Z</dcterms:modified>
  <cp:category>Investigación V · UPeU</cp:category>
</cp:coreProperties>
</file>