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 y cuartil SJR identificados por separado,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declarado,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límite de páginas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69.0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Plan A, B y C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Los planes se asignan </w:t>
      </w:r>
      <w:r>
        <w:rPr>
          <w:b/>
          <w:i w:val="0"/>
          <w:color w:val="131B2E"/>
          <w:sz w:val="16"/>
        </w:rPr>
        <w:t>solo entre las candidatas disponibles</w:t>
      </w:r>
      <w:r>
        <w:rPr>
          <w:b w:val="0"/>
          <w:i w:val="0"/>
          <w:color w:val="131B2E"/>
          <w:sz w:val="16"/>
        </w:rPr>
        <w:t>. Los puntajes de las tres ya registradas se conservan a la vista para que la comparación siga completa.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669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El mayor volumen de las disponibles</w:t>
            </w:r>
            <w:r>
              <w:rPr>
                <w:b w:val="0"/>
                <w:color w:val="131B2E"/>
                <w:sz w:val="15"/>
              </w:rPr>
              <w:t xml:space="preserve"> —481, 556 y 467 artículos en 2024, 2025 y 2026— con el APC más bajo del conjunto y publicación 2 meses después de aceptar. Con reserva: hay que confirmar que sigue activa en Scopus.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Mejor puntaje absoluto, pero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No exige APC</w:t>
            </w:r>
            <w:r>
              <w:rPr>
                <w:b w:val="0"/>
                <w:color w:val="131B2E"/>
                <w:sz w:val="15"/>
              </w:rPr>
              <w:t xml:space="preserve"> por la vía de suscripción. Sube al primer puesto al corregirse su capacidad, que no era de 21 artículos al año sino de 35-38. Su puntaje es el más frágil del conjunto: 0 de 6 datos verificados en la revista.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79.5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Volumen comparable con respaldo de Springer, que elimina el riesgo de descontinuación, y </w:t>
            </w:r>
            <w:r>
              <w:rPr>
                <w:b/>
                <w:color w:val="131B2E"/>
                <w:sz w:val="15"/>
              </w:rPr>
              <w:t>sin APC</w:t>
            </w:r>
            <w:r>
              <w:rPr>
                <w:b w:val="0"/>
                <w:color w:val="131B2E"/>
                <w:sz w:val="15"/>
              </w:rPr>
              <w:t xml:space="preserve"> por la vía de suscripción. Su tiempo de revisión está sin verificar.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77.5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Puntúa menos, pero es la única con los seis datos verificados en la propia revista, la única con Q2 y factor de impacto de Web of Science confirmados, y la única que publica detección y mitigación. Su desventaja está declarada: 3-6 meses.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Encaje idéntico al de BEEI y ciclo rápido, pero menor visibilidad y APC del doble.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73.5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mayor prestigio (h-index 60), pero su centro editorial se inclina a factores humanos y sus datos siguen sin verificar.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La más rápida, pero de alcance genérico, con el APC más alto y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69.0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El único </w:t>
            </w:r>
            <w:r>
              <w:rPr>
                <w:b/>
                <w:color w:val="131B2E"/>
                <w:sz w:val="15"/>
              </w:rPr>
              <w:t>Q3</w:t>
            </w:r>
            <w:r>
              <w:rPr>
                <w:b w:val="0"/>
                <w:color w:val="131B2E"/>
                <w:sz w:val="15"/>
              </w:rPr>
              <w:t xml:space="preserve"> verificado de las disponibles, con 305 artículos al año y revisión de unos 2 meses. Su APC de USD 850 y su menor producción temática la dejan por debajo, pero cumple todos los criterios.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El orden por debajo del Plan A es provisional.</w:t>
      </w:r>
      <w:r>
        <w:rPr>
          <w:b w:val="0"/>
          <w:i/>
          <w:color w:val="5B6B8C"/>
          <w:sz w:val="16"/>
        </w:rPr>
        <w:t xml:space="preserve"> Solo BEEI, IJSSE y CIT tienen sus datos sensibles verificados en fuente primaria; ISJ, ICS e IJACSA se puntuaron con fuentes secundarias, y completar esa verificación puede reordenarlas. La distancia entre CIT (77,5) y ISJ (77,0) es de medio punto: menor que el margen que puede mover una sola verificación pendiente.</w:t>
      </w:r>
    </w:p>
    <w:p>
      <w:pPr>
        <w:spacing w:before="180" w:after="60"/>
      </w:pPr>
      <w:r>
        <w:rPr>
          <w:b/>
          <w:color w:val="1F4E79"/>
          <w:sz w:val="23"/>
        </w:rPr>
        <w:t>6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por delante de ISJ (81.0), y es la única candidata que supera a BEEI (87.5) en puntuación absoluta.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467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