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607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0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31B2E"/>
          <w:sz w:val="25"/>
        </w:rPr>
        <w:t>Universidad Peruana Unión</w:t>
      </w:r>
    </w:p>
    <w:p>
      <w:pPr>
        <w:jc w:val="center"/>
      </w:pPr>
      <w:r>
        <w:rPr>
          <w:b w:val="0"/>
          <w:color w:val="5B6B8C"/>
          <w:sz w:val="21"/>
        </w:rPr>
        <w:t>Facultad de Ingeniería y Arquitectura</w:t>
      </w:r>
    </w:p>
    <w:p>
      <w:pPr>
        <w:jc w:val="center"/>
      </w:pPr>
      <w:r>
        <w:rPr>
          <w:b w:val="0"/>
          <w:color w:val="5B6B8C"/>
          <w:sz w:val="21"/>
        </w:rPr>
        <w:t>E.P. de Ingeniería de Sistemas</w:t>
      </w:r>
    </w:p>
    <w:p/>
    <w:p>
      <w:pPr>
        <w:jc w:val="center"/>
      </w:pPr>
      <w:r>
        <w:rPr>
          <w:b/>
          <w:color w:val="0F8A7D"/>
          <w:sz w:val="38"/>
        </w:rPr>
        <w:t>FICHA DE AUDITORÍA</w:t>
        <w:br/>
        <w:t>DEL PRODUCTO DE INGENIERÍA VALIDADO</w:t>
      </w:r>
    </w:p>
    <w:p>
      <w:pPr>
        <w:spacing w:before="160"/>
        <w:jc w:val="center"/>
      </w:pPr>
      <w:r>
        <w:rPr>
          <w:i/>
          <w:color w:val="5B6B8C"/>
          <w:sz w:val="22"/>
        </w:rPr>
        <w:t>Detección temprana de comportamientos anómalos en redes de datos</w:t>
        <w:br/>
        <w:t>mediante modelos predictivos y un mecanismo de control inline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0"/>
        <w:gridCol w:w="5100"/>
      </w:tblGrid>
      <w:tr>
        <w:tc>
          <w:tcPr>
            <w:tcW w:type="dxa" w:w="204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3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Producto auditado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Sistema de detección de anomalías de red con control inline, desplegado en laboratorio virtualizado (VM02)</w:t>
            </w:r>
          </w:p>
        </w:tc>
      </w:tr>
      <w:tr>
        <w:tc>
          <w:tcPr>
            <w:tcW w:type="dxa" w:w="204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Curso</w:t>
            </w:r>
          </w:p>
        </w:tc>
        <w:tc>
          <w:tcPr>
            <w:tcW w:type="dxa" w:w="703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Investigación V · Ciclo 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Docente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</w:t>
            </w:r>
          </w:p>
        </w:tc>
      </w:tr>
      <w:tr>
        <w:tc>
          <w:tcPr>
            <w:tcW w:type="dxa" w:w="204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Integrantes</w:t>
            </w:r>
          </w:p>
        </w:tc>
        <w:tc>
          <w:tcPr>
            <w:tcW w:type="dxa" w:w="703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Rubén Mark Salazar Tocas</w:t>
              <w:br/>
              <w:t>Uziel Elias Sauñe Fernandez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Fecha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19 de agosto de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200"/>
      </w:tblGrid>
      <w:tr>
        <w:tc>
          <w:tcPr>
            <w:tcW w:type="dxa" w:w="10200"/>
            <w:shd w:val="clear" w:fill="FDECD2"/>
          </w:tcPr>
          <w:p>
            <w:r/>
            <w:r>
              <w:rPr>
                <w:b/>
                <w:color w:val="B45309"/>
                <w:sz w:val="20"/>
              </w:rPr>
              <w:t>Nota sobre la rúbrica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La escala y los ítems son una </w:t>
            </w:r>
            <w:r>
              <w:rPr>
                <w:b/>
                <w:color w:val="131B2E"/>
                <w:sz w:val="19"/>
              </w:rPr>
              <w:t>reconstrucción razonada</w:t>
            </w:r>
            <w:r>
              <w:rPr>
                <w:b w:val="0"/>
                <w:color w:val="131B2E"/>
                <w:sz w:val="19"/>
              </w:rPr>
              <w:t xml:space="preserve"> del ejercicio propuesto, porque no se dispuso del formato exacto de la ficha proyectada en clase. La estructura de tres dimensiones —confiabilidad, replicabilidad y pertinencia— y el cálculo de puntaje final sí corresponden a la consigna. Si el formato oficial difiere, los puntajes por ítem se trasladan sin recalcular la evidencia.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Procedimiento seguido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>La consigna planteaba seis pasos. Se dejan explícitos para que pueda verificarse que se siguieron y no solo que se entregó la ficha: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1 — Conformación del equipo.</w:t>
      </w:r>
      <w:r>
        <w:rPr>
          <w:b w:val="0"/>
          <w:color w:val="131B2E"/>
          <w:sz w:val="20"/>
        </w:rPr>
        <w:t xml:space="preserve"> Rubén Mark Salazar Tocas y Uziel Elias Sauñe Fernandez, los mismos integrantes del proyecto auditado.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2 — Análisis del producto validado.</w:t>
      </w:r>
      <w:r>
        <w:rPr>
          <w:b w:val="0"/>
          <w:color w:val="131B2E"/>
          <w:sz w:val="20"/>
        </w:rPr>
        <w:t xml:space="preserve"> Se auditó el sistema realmente desplegado en VM02, no su especificación: motor de decisión, mecanismo de bloqueo y panel de observación.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3 — Evidencia de confiabilidad.</w:t>
      </w:r>
      <w:r>
        <w:rPr>
          <w:b w:val="0"/>
          <w:color w:val="131B2E"/>
          <w:sz w:val="20"/>
        </w:rPr>
        <w:t xml:space="preserve"> Las tres vías nombradas (Alfa, Kappa, validación cruzada) más las que corresponden a un sistema de software. → Sección 1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4 — Evidencia de replicabilidad.</w:t>
      </w:r>
      <w:r>
        <w:rPr>
          <w:b w:val="0"/>
          <w:color w:val="131B2E"/>
          <w:sz w:val="20"/>
        </w:rPr>
        <w:t xml:space="preserve"> Se comprobó ejecutando, no solo leyendo documentación, qué está publicado y qué no. → Sección 2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5 — Evidencia de pertinencia.</w:t>
      </w:r>
      <w:r>
        <w:rPr>
          <w:b w:val="0"/>
          <w:color w:val="131B2E"/>
          <w:sz w:val="20"/>
        </w:rPr>
        <w:t xml:space="preserve"> Se contrastó el producto con el problema declarado y con los requisitos comprometidos. → Sección 3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Paso 6 — Diligenciamiento y cálculo.</w:t>
      </w:r>
      <w:r>
        <w:rPr>
          <w:b w:val="0"/>
          <w:color w:val="131B2E"/>
          <w:sz w:val="20"/>
        </w:rPr>
        <w:t xml:space="preserve"> Puntuación ítem por ítem, subtotales y puntaje final. → Secciones 4 y 5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Cómo se realizó la auditoría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>Para que la ficha sea verificable y no una autoevaluación complaciente, se fijó de antemano qué se aceptaría como evidencia: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Solo cuenta lo que puede comprobar un tercero.</w:t>
      </w:r>
      <w:r>
        <w:rPr>
          <w:b w:val="0"/>
          <w:color w:val="131B2E"/>
          <w:sz w:val="20"/>
        </w:rPr>
        <w:t xml:space="preserve"> Una afirmación documentada pero no ejecutada se puntúa como declarada, nunca como completa.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Se verificó ejecutando, no leyendo.</w:t>
      </w:r>
      <w:r>
        <w:rPr>
          <w:b w:val="0"/>
          <w:color w:val="131B2E"/>
          <w:sz w:val="20"/>
        </w:rPr>
        <w:t xml:space="preserve"> La reproducibilidad se comprobó reevaluando el modelo congelado; la disponibilidad de datos, inspeccionando qué excluye el repositorio y cuánto ocupa cada artefacto.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Las cifras del proyecto no se transcriben a mano.</w:t>
      </w:r>
      <w:r>
        <w:rPr>
          <w:b w:val="0"/>
          <w:color w:val="131B2E"/>
          <w:sz w:val="20"/>
        </w:rPr>
        <w:t xml:space="preserve"> Se leen del manifiesto de calibración y de los registros de la validación operativa.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Lo ausente se puntúa como ausente.</w:t>
      </w:r>
      <w:r>
        <w:rPr>
          <w:b w:val="0"/>
          <w:color w:val="131B2E"/>
          <w:sz w:val="20"/>
        </w:rPr>
        <w:t xml:space="preserve"> No se compensa una carencia con una fortaleza de otra dimensión.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Lo que no aplica se excluye del cálculo</w:t>
      </w:r>
      <w:r>
        <w:rPr>
          <w:b w:val="0"/>
          <w:color w:val="131B2E"/>
          <w:sz w:val="20"/>
        </w:rPr>
        <w:t>, en vez de puntuarse con cero.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Escala de valoración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02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Puntos</w:t>
            </w:r>
          </w:p>
        </w:tc>
        <w:tc>
          <w:tcPr>
            <w:tcW w:type="dxa" w:w="170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635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02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Completo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y es verificable por un tercero</w:t>
            </w:r>
          </w:p>
        </w:tc>
      </w:tr>
      <w:tr>
        <w:tc>
          <w:tcPr>
            <w:tcW w:type="dxa" w:w="102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  <w:tc>
          <w:tcPr>
            <w:tcW w:type="dxa" w:w="170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635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pero con limitaciones declaradas</w:t>
            </w:r>
          </w:p>
        </w:tc>
      </w:tr>
      <w:tr>
        <w:tc>
          <w:tcPr>
            <w:tcW w:type="dxa" w:w="102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Insuficiente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Solo declarado, sin evidencia sólida</w:t>
            </w:r>
          </w:p>
        </w:tc>
      </w:tr>
      <w:tr>
        <w:tc>
          <w:tcPr>
            <w:tcW w:type="dxa" w:w="102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  <w:tc>
          <w:tcPr>
            <w:tcW w:type="dxa" w:w="170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Ausente</w:t>
            </w:r>
          </w:p>
        </w:tc>
        <w:tc>
          <w:tcPr>
            <w:tcW w:type="dxa" w:w="635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abordó</w:t>
            </w:r>
          </w:p>
        </w:tc>
      </w:tr>
      <w:tr>
        <w:tc>
          <w:tcPr>
            <w:tcW w:type="dxa" w:w="1020"/>
            <w:shd w:val="clear" w:fill="EEF1F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aplica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corresponde al tipo de producto (se excluye del cálculo)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Ficha de auditoría de validación — esquema del curso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>Los seis criterios sobre 20 puntos de la Sesión 02. El análisis extenso de las secciones 1 a 3 los sustenta con 18 ítems sobre 51 puntos.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835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102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encontrada</w:t>
            </w:r>
          </w:p>
        </w:tc>
        <w:tc>
          <w:tcPr>
            <w:tcW w:type="dxa" w:w="113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Puntaje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 estadística reportada (Alfa, Kappa u otra)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Intervalos de Wilson 95 % en toda proporción, McNemar exacto con corrección de Holm sobre 21 comparaciones y ROC-AUC 0,974. Alfa no aplica: no hay escalas. Kappa no aplica: no hay jueces</w:t>
            </w:r>
          </w:p>
        </w:tc>
        <w:tc>
          <w:tcPr>
            <w:tcW w:type="dxa" w:w="113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 / 4</w:t>
            </w:r>
          </w:p>
        </w:tc>
      </w:tr>
      <w:tr>
        <w:tc>
          <w:tcPr>
            <w:tcW w:type="dxa" w:w="283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Método de validación de resultados declarado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Hold-out con partición disjunta por episodio, umbral calibrado solo con validation y evaluación bloqueada de un solo paso. Falta validación cruzada y jornada de holdout externa</w:t>
            </w:r>
          </w:p>
        </w:tc>
        <w:tc>
          <w:tcPr>
            <w:tcW w:type="dxa" w:w="113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 /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 de sistema / determinismo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Reproducción bit a bit verificada: el umbral coincide en sus 16 dígitos y los 7 modelos reproducen el manifiesto. Las semillas aún no se declaran como protocolo</w:t>
            </w:r>
          </w:p>
        </w:tc>
        <w:tc>
          <w:tcPr>
            <w:tcW w:type="dxa" w:w="113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 / 3</w:t>
            </w:r>
          </w:p>
        </w:tc>
      </w:tr>
      <w:tr>
        <w:tc>
          <w:tcPr>
            <w:tcW w:type="dxa" w:w="283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Datos y/o código disponibles públicamente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Dataset, manifiesto y los 7 modelos candidatos publicados, verificables con sha256sum -c, bajo licencias MIT y CC BY 4.0</w:t>
            </w:r>
          </w:p>
        </w:tc>
        <w:tc>
          <w:tcPr>
            <w:tcW w:type="dxa" w:w="113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 / 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Entorno y dependencias documentadas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Versiones exactas de scikit-learn y numpy registradas en el manifiesto congelado, con script de instalación idempotente</w:t>
            </w:r>
          </w:p>
        </w:tc>
        <w:tc>
          <w:tcPr>
            <w:tcW w:type="dxa" w:w="113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 / 3</w:t>
            </w:r>
          </w:p>
        </w:tc>
      </w:tr>
      <w:tr>
        <w:tc>
          <w:tcPr>
            <w:tcW w:type="dxa" w:w="2835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Pertinencia validada con usuarios o stakeholders reales</w:t>
            </w:r>
          </w:p>
        </w:tc>
        <w:tc>
          <w:tcPr>
            <w:tcW w:type="dxa" w:w="5102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realizó ninguna. Es la única ausencia total del producto</w:t>
            </w:r>
          </w:p>
        </w:tc>
        <w:tc>
          <w:tcPr>
            <w:tcW w:type="dxa" w:w="1134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 / 3</w:t>
            </w:r>
          </w:p>
        </w:tc>
      </w:tr>
      <w:tr>
        <w:tc>
          <w:tcPr>
            <w:tcW w:type="dxa" w:w="2835"/>
            <w:shd w:val="clear" w:fill="EEF1F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TOTAL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</w:r>
          </w:p>
        </w:tc>
        <w:tc>
          <w:tcPr>
            <w:tcW w:type="dxa" w:w="113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15 / 20  ·  75 %</w:t>
            </w:r>
          </w:p>
        </w:tc>
      </w:tr>
    </w:tbl>
    <w:p>
      <w:pPr>
        <w:spacing w:after="120"/>
        <w:jc w:val="both"/>
      </w:pPr>
      <w:r>
        <w:rPr>
          <w:b/>
          <w:i/>
          <w:color w:val="5B6B8C"/>
          <w:sz w:val="20"/>
        </w:rPr>
        <w:t>El único cero es la validación con personas.</w:t>
      </w:r>
      <w:r>
        <w:rPr>
          <w:b w:val="0"/>
          <w:i/>
          <w:color w:val="5B6B8C"/>
          <w:sz w:val="20"/>
        </w:rPr>
        <w:t xml:space="preserve"> No se corrige documentando: exige evaluadores usando el panel. Una prueba de usabilidad con 5–8 participantes lo convierte en evidencia y eleva el total a 18 de 20.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1.  Evidencia de CONFIABILIDAD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son estables y consistentes al repetir la medición?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Alfa de Cronbach (consistencia interna)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El producto no emplea cuestionarios ni escalas psicométricas; no hay ítems que correlacionar</w:t>
            </w:r>
          </w:p>
        </w:tc>
        <w:tc>
          <w:tcPr>
            <w:tcW w:type="dxa" w:w="680"/>
            <w:shd w:val="clear" w:fill="EEF1F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N/A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Kappa de Cohen (acuerdo inter-evaluador)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realizó evaluación por jueces ni doble etiquetado independiente; las etiquetas provienen del diseño experimental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cruzada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aplicó sobre el modelo congelado. Existe leave-one-episode-out, pero solo sobre un pipeline descartado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Reproducibilidad de la medición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 reevaluar el modelo se obtuvieron exactamente las cifras originales (13/276 y 158/179)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Estabilidad entre repeticiones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Dos pases completos de validación operativa con resultados equivalentes (25,8 % y 23,0 %)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Cuantificación de la incertidumbre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Intervalos de Wilson 95 % en toda proporción y prueba de significancia entre modelos: McNemar exacto con corrección de Holm-Bonferroni sobre las 21 comparaciones por pares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</w:tbl>
    <w:p>
      <w:pPr>
        <w:spacing w:before="120"/>
      </w:pPr>
      <w:r>
        <w:rPr>
          <w:b/>
          <w:color w:val="B45309"/>
          <w:sz w:val="23"/>
        </w:rPr>
        <w:t>Subtotal: 9 / 15 puntos  =  60.0 %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La cuantificación de la incertidumbre pasó de parcial a completa: toda proporción lleva intervalo de Wilson y las comparaciones entre modelos tienen prueba de significancia. Lo que sigue faltando es </w:t>
      </w:r>
      <w:r>
        <w:rPr>
          <w:b/>
          <w:i w:val="0"/>
          <w:color w:val="131B2E"/>
          <w:sz w:val="20"/>
        </w:rPr>
        <w:t>validación cruzada sobre el modelo elegido</w:t>
      </w:r>
      <w:r>
        <w:rPr>
          <w:b w:val="0"/>
          <w:i w:val="0"/>
          <w:color w:val="131B2E"/>
          <w:sz w:val="20"/>
        </w:rPr>
        <w:t>; el acuerdo inter-evaluador no aplica porque el diseño no contempla jueces.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2.  Evidencia de REPLICABILIDAD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¿Puede un tercero reconstruir el estudio y obtener lo mismo?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Código disponible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Repositorio público con 571 archivos versionados y 358 registros de cambios trazables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Datos disponibles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Publicados: dataset, manifiesto y los 7 modelos candidatos, con checksums verificables por sha256sum -c y licencias MIT para el código y CC BY 4.0 para los datos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Entorno documentado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Versiones exactas fijadas, script de instalación idempotente y playbooks de Ansible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Determinismo y semillas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 semillas registradas, pero no cubren el modelo elegido; el determinismo no se declara como protocolo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Integridad verificable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SHA-256 de datos, modelo y calibrador; repositorio verificado limpio antes y después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Instrucciones de reproducción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El datasheet documenta el procedimiento exacto de descarga, verificación y regeneración; queda pendiente el manual de instalación desde cero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</w:tbl>
    <w:p>
      <w:pPr>
        <w:spacing w:before="120"/>
      </w:pPr>
      <w:r>
        <w:rPr>
          <w:b/>
          <w:color w:val="15803D"/>
          <w:sz w:val="23"/>
        </w:rPr>
        <w:t>Subtotal: 17 / 18 puntos  =  94.4 %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Es la dimensión </w:t>
      </w:r>
      <w:r>
        <w:rPr>
          <w:b/>
          <w:i w:val="0"/>
          <w:color w:val="131B2E"/>
          <w:sz w:val="20"/>
        </w:rPr>
        <w:t>más fuerte</w:t>
      </w:r>
      <w:r>
        <w:rPr>
          <w:b w:val="0"/>
          <w:i w:val="0"/>
          <w:color w:val="131B2E"/>
          <w:sz w:val="20"/>
        </w:rPr>
        <w:t xml:space="preserve"> del producto, y la que más subió: la publicación del dataset y de los siete modelos con checksums y licencias cerró la única brecha que quedaba. Un tercero puede hoy clonar el repositorio y reproducir el umbral en sus 16 dígitos.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3.  Evidencia de PERTINENCIA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¿El producto responde al problema real y su utilidad está demostrada?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con usuarios reales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realizó. Sin pruebas con analistas de seguridad ni medición de experiencia de uso del panel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Evaluación por expertos o jueces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aplicó ningún instrumento de juicio experto (Delphi, SUS u otro)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Trazabilidad de requisitos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matriz de cumplimiento del jurado, pero 4 filas sin cerrar y con rutas desactualizadas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en operación real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Sistema medido desplegado y activo: 2 pases de 29 corridas con motor y bloqueo sobre tráfico real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Alineación con el problema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Detecta y bloquea las 6 familias de ataque previstas, con métricas medidas por familia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Alcance y limitaciones declarados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Limitaciones medidas, cuantificadas y publicadas, incluido el error operativo desfavorable (23–26 %)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</w:tbl>
    <w:p>
      <w:pPr>
        <w:spacing w:before="120"/>
      </w:pPr>
      <w:r>
        <w:rPr>
          <w:b/>
          <w:color w:val="B45309"/>
          <w:sz w:val="23"/>
        </w:rPr>
        <w:t>Subtotal: 10 / 18 puntos  =  55.6 %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El producto es </w:t>
      </w:r>
      <w:r>
        <w:rPr>
          <w:b/>
          <w:i w:val="0"/>
          <w:color w:val="131B2E"/>
          <w:sz w:val="20"/>
        </w:rPr>
        <w:t>técnicamente pertinente</w:t>
      </w:r>
      <w:r>
        <w:rPr>
          <w:b w:val="0"/>
          <w:i w:val="0"/>
          <w:color w:val="131B2E"/>
          <w:sz w:val="20"/>
        </w:rPr>
        <w:t xml:space="preserve"> —resuelve el problema y se probó en operación real— pero carece de </w:t>
      </w:r>
      <w:r>
        <w:rPr>
          <w:b/>
          <w:i w:val="0"/>
          <w:color w:val="131B2E"/>
          <w:sz w:val="20"/>
        </w:rPr>
        <w:t>validación con personas</w:t>
      </w:r>
      <w:r>
        <w:rPr>
          <w:b w:val="0"/>
          <w:i w:val="0"/>
          <w:color w:val="131B2E"/>
          <w:sz w:val="20"/>
        </w:rPr>
        <w:t>: nadie externo al equipo lo ha usado ni evaluado. Para un producto cuya interfaz es un panel destinado a un analista, esa ausencia pesa.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4.  Puntaje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9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147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Obtenido</w:t>
            </w:r>
          </w:p>
        </w:tc>
        <w:tc>
          <w:tcPr>
            <w:tcW w:type="dxa" w:w="136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81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Porcentaje</w:t>
            </w:r>
          </w:p>
        </w:tc>
        <w:tc>
          <w:tcPr>
            <w:tcW w:type="dxa" w:w="192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15</w:t>
            </w:r>
          </w:p>
        </w:tc>
        <w:tc>
          <w:tcPr>
            <w:tcW w:type="dxa" w:w="181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60.0 %</w:t>
            </w:r>
          </w:p>
        </w:tc>
        <w:tc>
          <w:tcPr>
            <w:tcW w:type="dxa" w:w="1928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Medio</w:t>
            </w:r>
          </w:p>
        </w:tc>
      </w:tr>
      <w:tr>
        <w:tc>
          <w:tcPr>
            <w:tcW w:type="dxa" w:w="249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Replicabilidad</w:t>
            </w:r>
          </w:p>
        </w:tc>
        <w:tc>
          <w:tcPr>
            <w:tcW w:type="dxa" w:w="147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17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</w:t>
            </w:r>
          </w:p>
        </w:tc>
        <w:tc>
          <w:tcPr>
            <w:tcW w:type="dxa" w:w="181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94.4 %</w:t>
            </w:r>
          </w:p>
        </w:tc>
        <w:tc>
          <w:tcPr>
            <w:tcW w:type="dxa" w:w="1928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Pertinencia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</w:t>
            </w:r>
          </w:p>
        </w:tc>
        <w:tc>
          <w:tcPr>
            <w:tcW w:type="dxa" w:w="181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55.6 %</w:t>
            </w:r>
          </w:p>
        </w:tc>
        <w:tc>
          <w:tcPr>
            <w:tcW w:type="dxa" w:w="1928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Medio</w:t>
            </w:r>
          </w:p>
        </w:tc>
      </w:tr>
      <w:tr>
        <w:tc>
          <w:tcPr>
            <w:tcW w:type="dxa" w:w="249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TOTAL</w:t>
            </w:r>
          </w:p>
        </w:tc>
        <w:tc>
          <w:tcPr>
            <w:tcW w:type="dxa" w:w="147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36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51</w:t>
            </w:r>
          </w:p>
        </w:tc>
        <w:tc>
          <w:tcPr>
            <w:tcW w:type="dxa" w:w="181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70.6 %</w:t>
            </w:r>
          </w:p>
        </w:tc>
        <w:tc>
          <w:tcPr>
            <w:tcW w:type="dxa" w:w="1928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200"/>
      </w:tblGrid>
      <w:tr>
        <w:tc>
          <w:tcPr>
            <w:tcW w:type="dxa" w:w="10200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Interpretación del 70.6 %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Describe con precisión el estado del producto: </w:t>
            </w:r>
            <w:r>
              <w:rPr>
                <w:b/>
                <w:color w:val="131B2E"/>
                <w:sz w:val="19"/>
              </w:rPr>
              <w:t>sólido como artefacto de ingeniería, incompleto como evidencia científica</w:t>
            </w:r>
            <w:r>
              <w:rPr>
                <w:b w:val="0"/>
                <w:color w:val="131B2E"/>
                <w:sz w:val="19"/>
              </w:rPr>
              <w:t xml:space="preserve">. Lo que sostiene el puntaje es la </w:t>
            </w:r>
            <w:r>
              <w:rPr>
                <w:b/>
                <w:color w:val="131B2E"/>
                <w:sz w:val="19"/>
              </w:rPr>
              <w:t>replicabilidad</w:t>
            </w:r>
            <w:r>
              <w:rPr>
                <w:b w:val="0"/>
                <w:color w:val="131B2E"/>
                <w:sz w:val="19"/>
              </w:rPr>
              <w:t xml:space="preserve"> (77,8 %): el trabajo es verificable, versionado y auditable. Lo que lo baja son dos ausencias distintas: </w:t>
            </w:r>
            <w:r>
              <w:rPr>
                <w:b/>
                <w:color w:val="131B2E"/>
                <w:sz w:val="19"/>
              </w:rPr>
              <w:t>validación estadística</w:t>
            </w:r>
            <w:r>
              <w:rPr>
                <w:b w:val="0"/>
                <w:color w:val="131B2E"/>
                <w:sz w:val="19"/>
              </w:rPr>
              <w:t xml:space="preserve"> (sin validación cruzada del modelo elegido) y </w:t>
            </w:r>
            <w:r>
              <w:rPr>
                <w:b/>
                <w:color w:val="131B2E"/>
                <w:sz w:val="19"/>
              </w:rPr>
              <w:t>validación humana</w:t>
            </w:r>
            <w:r>
              <w:rPr>
                <w:b w:val="0"/>
                <w:color w:val="131B2E"/>
                <w:sz w:val="19"/>
              </w:rPr>
              <w:t xml:space="preserve"> (ningún usuario o experto externo lo evaluó). Ninguna invalida los resultados; ambas </w:t>
            </w:r>
            <w:r>
              <w:rPr>
                <w:b/>
                <w:color w:val="131B2E"/>
                <w:sz w:val="19"/>
              </w:rPr>
              <w:t>limitan el alcance de lo que puede afirmarse</w:t>
            </w:r>
            <w:r>
              <w:rPr>
                <w:b w:val="0"/>
                <w:color w:val="131B2E"/>
                <w:sz w:val="19"/>
              </w:rPr>
              <w:t xml:space="preserve"> con ellos.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5.  Acciones para elevar el puntaje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Ordenadas por costo. Las de horas y días </w:t>
      </w:r>
      <w:r>
        <w:rPr>
          <w:b/>
          <w:i w:val="0"/>
          <w:color w:val="131B2E"/>
          <w:sz w:val="20"/>
        </w:rPr>
        <w:t>no requieren capturar datos nuevos</w:t>
      </w:r>
      <w:r>
        <w:rPr>
          <w:b w:val="0"/>
          <w:i w:val="0"/>
          <w:color w:val="131B2E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487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24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Sube</w:t>
            </w:r>
          </w:p>
        </w:tc>
        <w:tc>
          <w:tcPr>
            <w:tcW w:type="dxa" w:w="136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 → a</w:t>
            </w:r>
          </w:p>
        </w:tc>
        <w:tc>
          <w:tcPr>
            <w:tcW w:type="dxa" w:w="158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**Aplicar una prueba de usabilidad (SUS) con 5–8 evaluadores**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3.1 y 3.2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 → 2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3–5 días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Ejecutar validación cruzada sobre el modelo congelado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1.3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Cerrar y actualizar la matriz de trazabilidad de requisitos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Documentar semillas y determinismo como protocolo explícito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2.4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Cerrar la matriz de trazabilidad de requisitos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Aplicar un instrumento validado (SUS) con 5–8 evaluadores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3.1 · 3.2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 → 2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3–5 días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Repetir la validación operativa para tener más de dos mediciones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1.5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 → 3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Días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200"/>
      </w:tblGrid>
      <w:tr>
        <w:tc>
          <w:tcPr>
            <w:tcW w:type="dxa" w:w="10200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Proyección realista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Ejecutando solo las acciones de </w:t>
            </w:r>
            <w:r>
              <w:rPr>
                <w:b/>
                <w:color w:val="131B2E"/>
                <w:sz w:val="19"/>
              </w:rPr>
              <w:t>horas</w:t>
            </w:r>
            <w:r>
              <w:rPr>
                <w:b w:val="0"/>
                <w:color w:val="131B2E"/>
                <w:sz w:val="19"/>
              </w:rPr>
              <w:t xml:space="preserve">, el puntaje pasaría de </w:t>
            </w:r>
            <w:r>
              <w:rPr>
                <w:b/>
                <w:color w:val="131B2E"/>
                <w:sz w:val="19"/>
              </w:rPr>
              <w:t>36/51 (70.6 %)</w:t>
            </w:r>
            <w:r>
              <w:rPr>
                <w:b w:val="0"/>
                <w:color w:val="131B2E"/>
                <w:sz w:val="19"/>
              </w:rPr>
              <w:t xml:space="preserve"> a </w:t>
            </w:r>
            <w:r>
              <w:rPr>
                <w:b/>
                <w:color w:val="131B2E"/>
                <w:sz w:val="19"/>
              </w:rPr>
              <w:t>43/51 (84.3 %)</w:t>
            </w:r>
            <w:r>
              <w:rPr>
                <w:b w:val="0"/>
                <w:color w:val="131B2E"/>
                <w:sz w:val="19"/>
              </w:rPr>
              <w:t xml:space="preserve"> sin experimentación nueva. Añadiendo el manual técnico y la evaluación con usuarios, superaría el </w:t>
            </w:r>
            <w:r>
              <w:rPr>
                <w:b/>
                <w:color w:val="131B2E"/>
                <w:sz w:val="19"/>
              </w:rPr>
              <w:t>85 %</w:t>
            </w:r>
            <w:r>
              <w:rPr>
                <w:b w:val="0"/>
                <w:color w:val="131B2E"/>
                <w:sz w:val="19"/>
              </w:rPr>
              <w:t>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6.  Correspondencia con la norma ISO/IEC 25010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La norma de calidad de producto de software permite situar los resultados en un marco reconocido. Se declara solo lo que el proyecto </w:t>
      </w:r>
      <w:r>
        <w:rPr>
          <w:b/>
          <w:i w:val="0"/>
          <w:color w:val="131B2E"/>
          <w:sz w:val="20"/>
        </w:rPr>
        <w:t>midió</w:t>
      </w:r>
      <w:r>
        <w:rPr>
          <w:b w:val="0"/>
          <w:i w:val="0"/>
          <w:color w:val="131B2E"/>
          <w:sz w:val="20"/>
        </w:rPr>
        <w:t>; el resto se marca como no evaluado, en lugar de suponerlo.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306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Característica ISO/IEC 25010</w:t>
            </w:r>
          </w:p>
        </w:tc>
        <w:tc>
          <w:tcPr>
            <w:tcW w:type="dxa" w:w="124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¿Se evaluó?</w:t>
            </w:r>
          </w:p>
        </w:tc>
        <w:tc>
          <w:tcPr>
            <w:tcW w:type="dxa" w:w="504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en este proyecto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Fiabilidad — madurez, disponibilidad, tolerancia a fallos</w:t>
            </w:r>
          </w:p>
        </w:tc>
        <w:tc>
          <w:tcPr>
            <w:tcW w:type="dxa" w:w="124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Sí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100 % de disponibilidad en 57 corridas, sin pérdida de paquetes. Tres fallos de producción detectados y corregidos con prueba positiva y negativa</w:t>
            </w:r>
          </w:p>
        </w:tc>
      </w:tr>
      <w:tr>
        <w:tc>
          <w:tcPr>
            <w:tcW w:type="dxa" w:w="30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Eficiencia de desempeño — comportamiento temporal</w:t>
            </w:r>
          </w:p>
        </w:tc>
        <w:tc>
          <w:tcPr>
            <w:tcW w:type="dxa" w:w="124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Sí</w:t>
            </w:r>
          </w:p>
        </w:tc>
        <w:tc>
          <w:tcPr>
            <w:tcW w:type="dxa" w:w="504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Bloqueo en una mediana de 8 s. Límite declarado: bajo carga sostenida el motor acumula retraso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Adecuación funcional — completitud y corrección</w:t>
            </w:r>
          </w:p>
        </w:tc>
        <w:tc>
          <w:tcPr>
            <w:tcW w:type="dxa" w:w="124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Detecta y bloquea las 6 familias previstas (88,8 %), pero la corrección se degrada con tráfico legítimo intenso (error 23–26 %)</w:t>
            </w:r>
          </w:p>
        </w:tc>
      </w:tr>
      <w:tr>
        <w:tc>
          <w:tcPr>
            <w:tcW w:type="dxa" w:w="30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Seguridad — confidencialidad, integridad, no repudio</w:t>
            </w:r>
          </w:p>
        </w:tc>
        <w:tc>
          <w:tcPr>
            <w:tcW w:type="dxa" w:w="124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504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Integridad verificable por SHA-256 y acceso por helper de alcance estrecho. NO se evaluó el sistema como objetivo de ataque (evasión, suplantación de IP)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Mantenibilidad — modularidad, reusabilidad</w:t>
            </w:r>
          </w:p>
        </w:tc>
        <w:tc>
          <w:tcPr>
            <w:tcW w:type="dxa" w:w="124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El motor reutiliza el extractor congelado sin duplicar fórmulas; 571 archivos versionados. Sin métricas formales</w:t>
            </w:r>
          </w:p>
        </w:tc>
      </w:tr>
      <w:tr>
        <w:tc>
          <w:tcPr>
            <w:tcW w:type="dxa" w:w="30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Usabilidad</w:t>
            </w:r>
          </w:p>
        </w:tc>
        <w:tc>
          <w:tcPr>
            <w:tcW w:type="dxa" w:w="1247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</w:t>
            </w:r>
          </w:p>
        </w:tc>
        <w:tc>
          <w:tcPr>
            <w:tcW w:type="dxa" w:w="504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El panel no se sometió a ninguna evaluación de uso (ver ítems 3.1 y 3.2)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Portabilidad</w:t>
            </w:r>
          </w:p>
        </w:tc>
        <w:tc>
          <w:tcPr>
            <w:tcW w:type="dxa" w:w="1247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Desplegado sobre una única configuración de laboratorio; no se probó en otro entorno</w:t>
            </w:r>
          </w:p>
        </w:tc>
      </w:tr>
      <w:tr>
        <w:tc>
          <w:tcPr>
            <w:tcW w:type="dxa" w:w="30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Compatibilidad</w:t>
            </w:r>
          </w:p>
        </w:tc>
        <w:tc>
          <w:tcPr>
            <w:tcW w:type="dxa" w:w="1247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</w:t>
            </w:r>
          </w:p>
        </w:tc>
        <w:tc>
          <w:tcPr>
            <w:tcW w:type="dxa" w:w="504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evaluó la coexistencia con otras herramientas de monitoreo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0200"/>
      </w:tblGrid>
      <w:tr>
        <w:tc>
          <w:tcPr>
            <w:tcW w:type="dxa" w:w="10200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Lectura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Las dos características que el producto </w:t>
            </w:r>
            <w:r>
              <w:rPr>
                <w:b/>
                <w:color w:val="131B2E"/>
                <w:sz w:val="19"/>
              </w:rPr>
              <w:t>sí demuestra con evidencia</w:t>
            </w:r>
            <w:r>
              <w:rPr>
                <w:b w:val="0"/>
                <w:color w:val="131B2E"/>
                <w:sz w:val="19"/>
              </w:rPr>
              <w:t xml:space="preserve"> —fiabilidad y eficiencia de desempeño— son precisamente las críticas en un sistema de detección en tiempo real. Las no evaluadas coinciden con las carencias que ya señala la ficha: usabilidad con la ausencia de validación con usuarios, y seguridad con la ausencia de pruebas de evasión.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7.  Conclusión de la auditoría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El producto </w:t>
      </w:r>
      <w:r>
        <w:rPr>
          <w:b/>
          <w:i w:val="0"/>
          <w:color w:val="131B2E"/>
          <w:sz w:val="20"/>
        </w:rPr>
        <w:t>está validado como artefacto de ingeniería</w:t>
      </w:r>
      <w:r>
        <w:rPr>
          <w:b w:val="0"/>
          <w:i w:val="0"/>
          <w:color w:val="131B2E"/>
          <w:sz w:val="20"/>
        </w:rPr>
        <w:t xml:space="preserve">: funciona, se midió en operación real y sus resultados se pueden reproducir exactamente. Lo que la auditoría expone no son fallos del sistema, sino </w:t>
      </w:r>
      <w:r>
        <w:rPr>
          <w:b/>
          <w:i w:val="0"/>
          <w:color w:val="131B2E"/>
          <w:sz w:val="20"/>
        </w:rPr>
        <w:t>huecos en la evidencia que lo respalda</w:t>
      </w:r>
      <w:r>
        <w:rPr>
          <w:b w:val="0"/>
          <w:i w:val="0"/>
          <w:color w:val="131B2E"/>
          <w:sz w:val="20"/>
        </w:rPr>
        <w:t>: falta validación cruzada, faltan los datos publicados y falta que alguien ajeno al equipo lo haya usado.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La ventaja es que </w:t>
      </w:r>
      <w:r>
        <w:rPr>
          <w:b/>
          <w:i w:val="0"/>
          <w:color w:val="131B2E"/>
          <w:sz w:val="20"/>
        </w:rPr>
        <w:t>la mayor parte de esos huecos se cierra en horas</w:t>
      </w:r>
      <w:r>
        <w:rPr>
          <w:b w:val="0"/>
          <w:i w:val="0"/>
          <w:color w:val="131B2E"/>
          <w:sz w:val="20"/>
        </w:rPr>
        <w:t>, porque el material ya existe y solo requiere publicarse o ejecutarse. La excepción es la validación con usuarios, que exige planificar una sesión con evaluadores externos.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Referencias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ISO/IEC 25010:2011.</w:t>
      </w:r>
      <w:r>
        <w:rPr>
          <w:b w:val="0"/>
          <w:color w:val="131B2E"/>
          <w:sz w:val="20"/>
        </w:rPr>
        <w:t xml:space="preserve"> Systems and software engineering — SQuaRE — System and software quality models. International Organization for Standardization.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Cronbach, L. J. (1951).</w:t>
      </w:r>
      <w:r>
        <w:rPr>
          <w:b w:val="0"/>
          <w:color w:val="131B2E"/>
          <w:sz w:val="20"/>
        </w:rPr>
        <w:t xml:space="preserve"> Coefficient alpha and the internal structure of tests. Psychometrika, 16(3), 297–334. — Origen del criterio del ítem 1.1.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Cohen, J. (1960).</w:t>
      </w:r>
      <w:r>
        <w:rPr>
          <w:b w:val="0"/>
          <w:color w:val="131B2E"/>
          <w:sz w:val="20"/>
        </w:rPr>
        <w:t xml:space="preserve"> A coefficient of agreement for nominal scales. Educational and Psychological Measurement, 20(1), 37–46. — Origen del criterio del ítem 1.2.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Wilson, E. B. (1927).</w:t>
      </w:r>
      <w:r>
        <w:rPr>
          <w:b w:val="0"/>
          <w:color w:val="131B2E"/>
          <w:sz w:val="20"/>
        </w:rPr>
        <w:t xml:space="preserve"> Probable inference, the law of succession, and statistical inference. Journal of the American Statistical Association, 22(158), 209–212. — Método usado para los intervalos del ítem 1.6.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Wilkinson, M. D., et al. (2016).</w:t>
      </w:r>
      <w:r>
        <w:rPr>
          <w:b w:val="0"/>
          <w:color w:val="131B2E"/>
          <w:sz w:val="20"/>
        </w:rPr>
        <w:t xml:space="preserve"> The FAIR Guiding Principles for scientific data management and stewardship. Scientific Data, 3, 160018. — Marco de referencia de la sección 2.</w:t>
      </w:r>
    </w:p>
    <w:p>
      <w:pPr>
        <w:pStyle w:val="ListBullet"/>
        <w:spacing w:after="60"/>
      </w:pPr>
      <w:r>
        <w:rPr>
          <w:b/>
          <w:color w:val="131B2E"/>
          <w:sz w:val="20"/>
        </w:rPr>
        <w:t>Peng, R. D. (2011).</w:t>
      </w:r>
      <w:r>
        <w:rPr>
          <w:b w:val="0"/>
          <w:color w:val="131B2E"/>
          <w:sz w:val="20"/>
        </w:rPr>
        <w:t xml:space="preserve"> Reproducible research in computational science. Science, 334(6060), 1226–1227. — Distinción entre reproducibilidad y replicabilidad, ítems 1.4 y 2.1–2.6.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200"/>
      </w:tabs>
    </w:pPr>
    <w:r/>
    <w:r>
      <w:rPr>
        <w:color w:val="5B6B8C"/>
        <w:sz w:val="14"/>
      </w:rPr>
      <w:t>Ficha de auditoría del producto · Salazar Tocas &amp; Sauñe Fernandez</w:t>
      <w:tab/>
    </w:r>
    <w:r>
      <w:rPr>
        <w:color w:val="5B6B8C"/>
        <w:sz w:val="14"/>
      </w:rPr>
      <w:t xml:space="preserve">Página </w:t>
    </w:r>
    <w:r>
      <w:rPr>
        <w:color w:val="5B6B8C"/>
        <w:sz w:val="14"/>
      </w:rPr>
      <w:fldChar w:fldCharType="begin"/>
      <w:instrText xml:space="preserve"> PAGE </w:instrText>
      <w:fldChar w:fldCharType="end"/>
    </w:r>
    <w:r>
      <w:rPr>
        <w:color w:val="5B6B8C"/>
        <w:sz w:val="14"/>
      </w:rPr>
      <w:t xml:space="preserve"> de </w:t>
    </w:r>
    <w:r>
      <w:rPr>
        <w:color w:val="5B6B8C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FBFBF" w:space="3"/>
      </w:pBdr>
    </w:pPr>
    <w:r/>
    <w:r>
      <w:rPr>
        <w:i/>
        <w:color w:val="5B6B8C"/>
        <w:sz w:val="14"/>
      </w:rPr>
      <w:t>Investigación V · Sesión 02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auditoría del producto</dc:title>
  <dc:subject>Auditoría de confiabilidad, replicabilidad y pertinencia</dc:subject>
  <dc:creator>Rubén Mark Salazar Tocas; Uziel Elias Sauñe Fernandez</dc:creator>
  <cp:keywords>detección de anomalías; seguridad de redes; aprendizaje no supervisado; OCSVM</cp:keywords>
  <dc:description>Documento generado por script desde los artefactos del proyecto; ninguna cifra se transcribe a mano.</dc:description>
  <cp:lastModifiedBy>Rubén Mark Salazar Tocas; Uziel Elias Sauñe Fernandez</cp:lastModifiedBy>
  <cp:revision>1</cp:revision>
  <dcterms:created xsi:type="dcterms:W3CDTF">2013-12-23T23:15:00Z</dcterms:created>
  <dcterms:modified xsi:type="dcterms:W3CDTF">2013-12-23T23:15:00Z</dcterms:modified>
  <cp:category>Investigación V · UPeU</cp:category>
</cp:coreProperties>
</file>