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0F8A7D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correlacionar, así que </w:t>
      </w:r>
      <w:r>
        <w:rPr>
          <w:b/>
          <w:i w:val="0"/>
          <w:color w:val="131B2E"/>
          <w:sz w:val="18"/>
        </w:rPr>
        <w:t>Alfa de Cronbach no aplica</w:t>
      </w:r>
      <w:r>
        <w:rPr>
          <w:b w:val="0"/>
          <w:i w:val="0"/>
          <w:color w:val="131B2E"/>
          <w:sz w:val="18"/>
        </w:rPr>
        <w:t xml:space="preserve"> al producto.</w:t>
      </w:r>
    </w:p>
    <w:p>
      <w:pPr>
        <w:spacing w:before="200" w:after="80"/>
      </w:pPr>
      <w:r>
        <w:rPr>
          <w:b/>
          <w:color w:val="0F8A7D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Intervalo de Wilson 95 %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reporta </w:t>
            </w:r>
            <w:r>
              <w:rPr>
                <w:b/>
                <w:color w:val="131B2E"/>
                <w:sz w:val="16"/>
              </w:rPr>
              <w:t>siempre</w:t>
            </w:r>
            <w:r>
              <w:rPr>
                <w:b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McNemar exacto + Holm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 &lt; 0,05 tras corregir.</w:t>
            </w:r>
            <w:r>
              <w:rPr>
                <w:b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color w:val="131B2E"/>
                <w:sz w:val="16"/>
              </w:rPr>
              <w:t>dentro del intervalo de Wilson</w:t>
            </w:r>
            <w:r>
              <w:rPr>
                <w:b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Bootstrap por episodio</w:t>
            </w:r>
            <w:r>
              <w:rPr>
                <w:b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Coeficiente de variación &lt; 5 %</w:t>
            </w:r>
            <w:r>
              <w:rPr>
                <w:b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Determinismo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SHA-256 idéntico</w:t>
            </w:r>
            <w:r>
              <w:rPr>
                <w:b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0F8A7D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GitHub, licencia </w:t>
            </w:r>
            <w:r>
              <w:rPr>
                <w:b/>
                <w:color w:val="131B2E"/>
                <w:sz w:val="16"/>
              </w:rPr>
              <w:t>MIT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 candidatos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color w:val="131B2E"/>
                <w:sz w:val="16"/>
              </w:rPr>
              <w:t>CC BY 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Depósito citable con DOI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Semillas y determinismo como protocolo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0F8A7D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Prueba de usabilidad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color w:val="131B2E"/>
                <w:sz w:val="16"/>
              </w:rPr>
              <w:t>5–8 evaluadores</w:t>
            </w:r>
            <w:r>
              <w:rPr>
                <w:b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SUS ≥ 68</w:t>
            </w:r>
            <w:r>
              <w:rPr>
                <w:b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Tareas observadas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Tasa de éxito ≥ 80 %</w:t>
            </w:r>
            <w:r>
              <w:rPr>
                <w:b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Entrevista semiestructurada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Trazabilidad de requisitos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100 % de filas cerradas</w:t>
            </w:r>
            <w:r>
              <w:rPr>
                <w:b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0F8A7D"/>
          <w:sz w:val="25"/>
        </w:rPr>
        <w:t>Cronograma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73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742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798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Confiabilidad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 y desviación por pliegue; banda del umbral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en el protocolo de modelado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Instrumento SUS y guion de sesión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DOI citable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Puntaje SUS, tiempos y tasa de éxito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sin filas abiertas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tres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de validación y limitaciones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0F8A7D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 de 23–26 %</w:t>
      </w:r>
      <w:r>
        <w:rPr>
          <w:b w:val="0"/>
          <w:i w:val="0"/>
          <w:color w:val="131B2E"/>
          <w:sz w:val="18"/>
        </w:rPr>
        <w:t xml:space="preserve"> sobre tráfico legítimo pesado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Plan de validación de resultados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validación de resultados</dc:title>
  <dc:subject>Método y umbral por cada eje de validación, con cronograma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