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1F4E79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Los resultados </w:t>
            </w:r>
            <w:r>
              <w:rPr>
                <w:b/>
                <w:i w:val="0"/>
                <w:color w:val="131B2E"/>
                <w:sz w:val="19"/>
              </w:rPr>
              <w:t>sí sostienen</w:t>
            </w:r>
            <w:r>
              <w:rPr>
                <w:b w:val="0"/>
                <w:i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i w:val="0"/>
                <w:color w:val="131B2E"/>
                <w:sz w:val="19"/>
              </w:rPr>
              <w:t>88.8 %</w:t>
            </w:r>
            <w:r>
              <w:rPr>
                <w:b w:val="0"/>
                <w:i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i w:val="0"/>
                <w:color w:val="131B2E"/>
                <w:sz w:val="19"/>
              </w:rPr>
              <w:t>0,974</w:t>
            </w:r>
            <w:r>
              <w:rPr>
                <w:b w:val="0"/>
                <w:i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i w:val="0"/>
                <w:color w:val="131B2E"/>
                <w:sz w:val="19"/>
              </w:rPr>
              <w:t>8 segundos</w:t>
            </w:r>
            <w:r>
              <w:rPr>
                <w:b w:val="0"/>
                <w:i w:val="0"/>
                <w:color w:val="131B2E"/>
                <w:sz w:val="19"/>
              </w:rPr>
              <w:t xml:space="preserve">). </w:t>
            </w:r>
            <w:r>
              <w:rPr>
                <w:b/>
                <w:i w:val="0"/>
                <w:color w:val="131B2E"/>
                <w:sz w:val="19"/>
              </w:rPr>
              <w:t>No sostienen todavía</w:t>
            </w:r>
            <w:r>
              <w:rPr>
                <w:b w:val="0"/>
                <w:i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2.  </w:t>
      </w:r>
      <w:r>
        <w:rPr>
          <w:b/>
          <w:color w:val="131B2E"/>
          <w:sz w:val="28"/>
        </w:rPr>
        <w:t>Eje 1 · Confiabilidad</w:t>
      </w:r>
    </w:p>
    <w:p>
      <w:pPr>
        <w:spacing w:after="120"/>
        <w:jc w:val="both"/>
      </w:pPr>
      <w:r>
        <w:rPr>
          <w:b w:val="0"/>
          <w:i/>
          <w:color w:val="131B2E"/>
          <w:sz w:val="19"/>
        </w:rPr>
        <w:t>¿Repetir el procedimiento produce los mismos resultados?</w:t>
      </w:r>
      <w:r>
        <w:rPr>
          <w:b w:val="0"/>
          <w:i w:val="0"/>
          <w:color w:val="131B2E"/>
          <w:sz w:val="19"/>
        </w:rPr>
        <w:t xml:space="preserve"> La sesión pide un método concreto según el tipo de producto. </w:t>
      </w:r>
      <w:r>
        <w:rPr>
          <w:b/>
          <w:i w:val="0"/>
          <w:color w:val="131B2E"/>
          <w:sz w:val="19"/>
        </w:rPr>
        <w:t>Dos no aplican aquí y conviene decirlo antes de que se pregunte: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Prueba</w:t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Qué mide</w:t>
            </w:r>
          </w:p>
        </w:tc>
        <w:tc>
          <w:tcPr>
            <w:tcW w:type="dxa" w:w="4819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Por qué no aplica aquí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Alfa de Cronbach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Consistencia interna entre los ítems de un instrumento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El producto es un sistema que decide y bloquea: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no tiene ítems de escala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que correlacionar. Se calculará sobre el SUS, que sí tiene 10 ítems</w:t>
            </w:r>
          </w:p>
        </w:tc>
      </w:tr>
      <w:tr>
        <w:tc>
          <w:tcPr>
            <w:tcW w:type="dxa" w:w="1928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Kappa de Cohen</w:t>
            </w:r>
          </w:p>
        </w:tc>
        <w:tc>
          <w:tcPr>
            <w:tcW w:type="dxa" w:w="260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Acuerdo entre dos evaluadores más allá del azar</w:t>
            </w:r>
          </w:p>
        </w:tc>
        <w:tc>
          <w:tcPr>
            <w:tcW w:type="dxa" w:w="4819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No hay jueces humanos etiquetando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: las etiquetas vienen del diseño experimental, se sabe qué máquina generó cada tráfico</w:t>
            </w:r>
          </w:p>
        </w:tc>
      </w:tr>
    </w:tbl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Cero caídas registradas en 58 corridas (55 verificadas), sin pérdida de paquetes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Los dos pases de validación operativa dieron resultados equivalentes: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25,81 %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(16/62) en el pase 1 y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22,97 %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(17/74) en el pase 2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Determinismo del sistema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10 ajustes repetidos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del pipeline elegido produjeron el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mismo SHA-256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y el mismo umbral (</w:t>
            </w:r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1.8126087939765134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Estabilidad del umbral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Remuestreo bootstrap por episodio,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B = 1 000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: coeficiente de variación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4,10 %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(máximo declarado 5 %), banda percentil [1,6496 – 1,8132]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Validación externa del umbral.</w:t>
      </w:r>
      <w:r>
        <w:rPr>
          <w:b w:val="0"/>
          <w:i w:val="0"/>
          <w:color w:val="131B2E"/>
          <w:sz w:val="20"/>
        </w:rPr>
        <w:t xml:space="preserve"> La banda de variabilidad se estimó por remuestreo sobre los mismos episodios; </w:t>
      </w:r>
      <w:r>
        <w:rPr>
          <w:b/>
          <w:i w:val="0"/>
          <w:color w:val="131B2E"/>
          <w:sz w:val="20"/>
        </w:rPr>
        <w:t>no hay una jornada nueva</w:t>
      </w:r>
      <w:r>
        <w:rPr>
          <w:b w:val="0"/>
          <w:i w:val="0"/>
          <w:color w:val="131B2E"/>
          <w:sz w:val="20"/>
        </w:rPr>
        <w:t xml:space="preserve"> que confirme que el umbral sigue siendo válido en otra fecha.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Confiabilidad inter-evaluador.</w:t>
      </w:r>
      <w:r>
        <w:rPr>
          <w:b w:val="0"/>
          <w:i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3.  </w:t>
      </w:r>
      <w:r>
        <w:rPr>
          <w:b/>
          <w:color w:val="131B2E"/>
          <w:sz w:val="28"/>
        </w:rPr>
        <w:t>Eje 2 · Replicabilidad</w:t>
      </w:r>
    </w:p>
    <w:p>
      <w:pPr>
        <w:spacing w:after="120"/>
        <w:jc w:val="both"/>
      </w:pPr>
      <w:r>
        <w:rPr>
          <w:b w:val="0"/>
          <w:i/>
          <w:color w:val="131B2E"/>
          <w:sz w:val="19"/>
        </w:rPr>
        <w:t>¿Otro equipo, con datos nuevos y el mismo método, llegaría a lo mismo?</w:t>
      </w:r>
      <w:r>
        <w:rPr>
          <w:b w:val="0"/>
          <w:i w:val="0"/>
          <w:color w:val="131B2E"/>
          <w:sz w:val="19"/>
        </w:rPr>
        <w:t xml:space="preserve"> La sesión pide prácticas de </w:t>
      </w:r>
      <w:r>
        <w:rPr>
          <w:b/>
          <w:i w:val="0"/>
          <w:color w:val="131B2E"/>
          <w:sz w:val="19"/>
        </w:rPr>
        <w:t>ciencia abierta</w:t>
      </w:r>
      <w:r>
        <w:rPr>
          <w:b w:val="0"/>
          <w:i w:val="0"/>
          <w:color w:val="131B2E"/>
          <w:sz w:val="19"/>
        </w:rPr>
        <w:t>: principios FAIR, repositorio público, datos con DOI citable, entorno con versiones exactas y preregistro.</w:t>
      </w:r>
    </w:p>
    <w:p>
      <w:pPr>
        <w:spacing w:before="200" w:after="60"/>
      </w:pPr>
      <w:r>
        <w:rPr>
          <w:b/>
          <w:color w:val="131B2E"/>
          <w:sz w:val="22"/>
        </w:rPr>
        <w:t>→  Reproducibilidad no es replicabilidad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928"/>
            <w:shd w:val="clear" w:fill="1F4E79"/>
          </w:tcPr>
          <w:p>
            <w:r/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Definición de la sesión</w:t>
            </w:r>
          </w:p>
        </w:tc>
        <w:tc>
          <w:tcPr>
            <w:tcW w:type="dxa" w:w="402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¿Se cumple?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Reproducibilidad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Mismos datos y mismo código → mismos resultados</w:t>
            </w:r>
          </w:p>
        </w:tc>
        <w:tc>
          <w:tcPr>
            <w:tcW w:type="dxa" w:w="4025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Sí.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Al reevaluar el modelo congelado salieron exactamente las mismas cifras: 13/276 y 158/179</w:t>
            </w:r>
          </w:p>
        </w:tc>
      </w:tr>
      <w:tr>
        <w:tc>
          <w:tcPr>
            <w:tcW w:type="dxa" w:w="1928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Replicabilidad</w:t>
            </w:r>
          </w:p>
        </w:tc>
        <w:tc>
          <w:tcPr>
            <w:tcW w:type="dxa" w:w="3402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Datos nuevos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, mismo método → hallazgos consistentes</w:t>
            </w:r>
          </w:p>
        </w:tc>
        <w:tc>
          <w:tcPr>
            <w:tcW w:type="dxa" w:w="4025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No.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No existe ninguna captura posterior e independiente</w:t>
            </w:r>
          </w:p>
        </w:tc>
      </w:tr>
    </w:tbl>
    <w:p>
      <w:pPr>
        <w:spacing w:after="120"/>
        <w:jc w:val="both"/>
      </w:pPr>
      <w:r>
        <w:rPr>
          <w:b w:val="0"/>
          <w:i/>
          <w:color w:val="131B2E"/>
          <w:sz w:val="18"/>
        </w:rPr>
        <w:t>Decirlo así evita la afirmación más común e injustificada en trabajos de este tipo: «nuestros resultados son replicables».</w:t>
      </w:r>
    </w:p>
    <w:p>
      <w:pPr>
        <w:spacing w:before="200" w:after="60"/>
      </w:pPr>
      <w:r>
        <w:rPr>
          <w:b/>
          <w:color w:val="15803D"/>
          <w:sz w:val="22"/>
        </w:rPr>
        <w:t>✔  Checklist de replicabilidad de la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60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Punto del checklist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5443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Datos disponibles públicamente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Dataset, manifiesto y 7 modelos publicados, con </w:t>
            </w:r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docs/dataset/SHA256SUMS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(13 archivos)</w:t>
            </w:r>
          </w:p>
        </w:tc>
      </w:tr>
      <w:tr>
        <w:tc>
          <w:tcPr>
            <w:tcW w:type="dxa" w:w="260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Código disponible y documentado</w:t>
            </w:r>
          </w:p>
        </w:tc>
        <w:tc>
          <w:tcPr>
            <w:tcW w:type="dxa" w:w="130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5443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Repositorio público con historial completo; MIT para código y CC BY 4.0 para datos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Entorno con versiones exactas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5443"/>
          </w:tcPr>
          <w:p>
            <w:r/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requirements-model.txt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; el manifiesto registra </w:t>
            </w:r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scikit-learn 1.9.0</w:t>
            </w:r>
          </w:p>
        </w:tc>
      </w:tr>
      <w:tr>
        <w:tc>
          <w:tcPr>
            <w:tcW w:type="dxa" w:w="260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Semillas fijadas y reportadas</w:t>
            </w:r>
          </w:p>
        </w:tc>
        <w:tc>
          <w:tcPr>
            <w:tcW w:type="dxa" w:w="130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5443"/>
            <w:shd w:val="clear" w:fill="EEF3FA"/>
          </w:tcPr>
          <w:p>
            <w:r/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random_state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 explícito; 10 ajustes repetidos dan el mismo hash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Instrucciones paso a paso</w:t>
            </w:r>
          </w:p>
        </w:tc>
        <w:tc>
          <w:tcPr>
            <w:tcW w:type="dxa" w:w="130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El datasheet documenta descarga, verificación de hashes y regeneración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DOI citable de los datos.</w:t>
      </w:r>
      <w:r>
        <w:rPr>
          <w:b w:val="0"/>
          <w:i w:val="0"/>
          <w:color w:val="131B2E"/>
          <w:sz w:val="20"/>
        </w:rPr>
        <w:t xml:space="preserve"> No hay depósito en Zenodo, Figshare ni OSF: el repositorio es público pero </w:t>
      </w:r>
      <w:r>
        <w:rPr>
          <w:b/>
          <w:i w:val="0"/>
          <w:color w:val="131B2E"/>
          <w:sz w:val="20"/>
        </w:rPr>
        <w:t>sin identificador persistente</w:t>
      </w:r>
      <w:r>
        <w:rPr>
          <w:b w:val="0"/>
          <w:i w:val="0"/>
          <w:color w:val="131B2E"/>
          <w:sz w:val="20"/>
        </w:rPr>
        <w:t>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Preregistro del plan de análisis.</w:t>
      </w:r>
      <w:r>
        <w:rPr>
          <w:b w:val="0"/>
          <w:i w:val="0"/>
          <w:color w:val="131B2E"/>
          <w:sz w:val="20"/>
        </w:rPr>
        <w:t xml:space="preserve"> No se publicaron hipótesis, métricas ni umbrales antes de ver los resultados. Está directamente relacionado con la selección posterior del modelo.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Replicación con datos nuevos.</w:t>
      </w:r>
      <w:r>
        <w:rPr>
          <w:b w:val="0"/>
          <w:i w:val="0"/>
          <w:color w:val="131B2E"/>
          <w:sz w:val="20"/>
        </w:rPr>
        <w:t xml:space="preserve"> Es la carencia principal de este eje.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4.  </w:t>
      </w:r>
      <w:r>
        <w:rPr>
          <w:b/>
          <w:color w:val="131B2E"/>
          <w:sz w:val="28"/>
        </w:rPr>
        <w:t>Eje 3 · Pertinencia</w:t>
      </w:r>
    </w:p>
    <w:p>
      <w:pPr>
        <w:spacing w:after="120"/>
        <w:jc w:val="both"/>
      </w:pPr>
      <w:r>
        <w:rPr>
          <w:b w:val="0"/>
          <w:i/>
          <w:color w:val="131B2E"/>
          <w:sz w:val="19"/>
        </w:rPr>
        <w:t>¿La solución resuelve el problema real, para las personas que la usarán?</w:t>
      </w:r>
      <w:r>
        <w:rPr>
          <w:b w:val="0"/>
          <w:i w:val="0"/>
          <w:color w:val="131B2E"/>
          <w:sz w:val="19"/>
        </w:rPr>
        <w:t xml:space="preserve"> La sesión pide validación con usuarios y </w:t>
      </w:r>
      <w:r>
        <w:rPr>
          <w:b w:val="0"/>
          <w:i/>
          <w:color w:val="131B2E"/>
          <w:sz w:val="19"/>
        </w:rPr>
        <w:t>stakeholders</w:t>
      </w:r>
      <w:r>
        <w:rPr>
          <w:b w:val="0"/>
          <w:i w:val="0"/>
          <w:color w:val="131B2E"/>
          <w:sz w:val="19"/>
        </w:rPr>
        <w:t xml:space="preserve"> reales: pruebas de usabilidad, modelos de aceptación (</w:t>
      </w:r>
      <w:r>
        <w:rPr>
          <w:b/>
          <w:i w:val="0"/>
          <w:color w:val="131B2E"/>
          <w:sz w:val="19"/>
        </w:rPr>
        <w:t>TAM</w:t>
      </w:r>
      <w:r>
        <w:rPr>
          <w:b w:val="0"/>
          <w:i w:val="0"/>
          <w:color w:val="131B2E"/>
          <w:sz w:val="19"/>
        </w:rPr>
        <w:t xml:space="preserve">, </w:t>
      </w:r>
      <w:r>
        <w:rPr>
          <w:b/>
          <w:i w:val="0"/>
          <w:color w:val="131B2E"/>
          <w:sz w:val="19"/>
        </w:rPr>
        <w:t>UTAUT</w:t>
      </w:r>
      <w:r>
        <w:rPr>
          <w:b w:val="0"/>
          <w:i w:val="0"/>
          <w:color w:val="131B2E"/>
          <w:sz w:val="19"/>
        </w:rPr>
        <w:t xml:space="preserve">), </w:t>
      </w:r>
      <w:r>
        <w:rPr>
          <w:b/>
          <w:i w:val="0"/>
          <w:color w:val="131B2E"/>
          <w:sz w:val="19"/>
        </w:rPr>
        <w:t>SUS</w:t>
      </w:r>
      <w:r>
        <w:rPr>
          <w:b w:val="0"/>
          <w:i w:val="0"/>
          <w:color w:val="131B2E"/>
          <w:sz w:val="19"/>
        </w:rPr>
        <w:t xml:space="preserve"> y </w:t>
      </w:r>
      <w:r>
        <w:rPr>
          <w:b/>
          <w:i w:val="0"/>
          <w:color w:val="131B2E"/>
          <w:sz w:val="19"/>
        </w:rPr>
        <w:t>trazabilidad de requisitos</w:t>
      </w:r>
      <w:r>
        <w:rPr>
          <w:b w:val="0"/>
          <w:i w:val="0"/>
          <w:color w:val="131B2E"/>
          <w:sz w:val="19"/>
        </w:rPr>
        <w:t>.</w:t>
      </w:r>
    </w:p>
    <w:p>
      <w:pPr>
        <w:spacing w:after="120"/>
        <w:jc w:val="both"/>
      </w:pPr>
      <w:r>
        <w:rPr>
          <w:b/>
          <w:i w:val="0"/>
          <w:color w:val="131B2E"/>
          <w:sz w:val="19"/>
        </w:rPr>
        <w:t>Es el único eje de este informe sin ninguna medición.</w:t>
      </w:r>
      <w:r>
        <w:rPr>
          <w:b w:val="0"/>
          <w:i w:val="0"/>
          <w:color w:val="131B2E"/>
          <w:sz w:val="19"/>
        </w:rPr>
        <w:t xml:space="preserve"> Se declara así, sin matizarlo.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Instrumento que pide la sesión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4819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Pruebas de usabilidad con usuarios reales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No aplicado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Nadie fuera del equipo ha operado el panel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SUS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Preparado, sin aplicar</w:t>
            </w:r>
          </w:p>
        </w:tc>
        <w:tc>
          <w:tcPr>
            <w:tcW w:type="dxa" w:w="4819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Instrumento de 10 ítems y guion listos en </w:t>
            </w:r>
            <w:r>
              <w:rPr>
                <w:rFonts w:ascii="Consolas" w:hAnsi="Consolas"/>
                <w:b w:val="0"/>
                <w:i w:val="0"/>
                <w:color w:val="131B2E"/>
                <w:sz w:val="19"/>
              </w:rPr>
              <w:t>08-validacion-usuarios/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; el archivo de respuestas tiene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0 filas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TAM / TAM2 / UTAUT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No aplicado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No se aplicó ningún modelo de aceptación</w:t>
            </w:r>
          </w:p>
        </w:tc>
      </w:tr>
      <w:tr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Entrevistas o grupos focales</w:t>
            </w:r>
          </w:p>
        </w:tc>
        <w:tc>
          <w:tcPr>
            <w:tcW w:type="dxa" w:w="1701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No aplicado</w:t>
            </w:r>
          </w:p>
        </w:tc>
        <w:tc>
          <w:tcPr>
            <w:tcW w:type="dxa" w:w="4819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No se realizaron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Parcial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La matriz existe como plan, pero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no está cerrada</w:t>
            </w:r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: hay filas sin prueba asociada</w:t>
            </w:r>
          </w:p>
        </w:tc>
      </w:tr>
    </w:tbl>
    <w:p>
      <w:pPr>
        <w:spacing w:after="120"/>
        <w:jc w:val="both"/>
      </w:pPr>
      <w:r>
        <w:rPr>
          <w:b w:val="0"/>
          <w:i/>
          <w:color w:val="131B2E"/>
          <w:sz w:val="18"/>
        </w:rPr>
        <w:t xml:space="preserve">En palabras de la sesión: «una solución puede ser excelente en código y arquitectura, y aun así ser irrelevante si no encaja con la necesidad real». </w:t>
      </w:r>
      <w:r>
        <w:rPr>
          <w:b/>
          <w:i/>
          <w:color w:val="131B2E"/>
          <w:sz w:val="18"/>
        </w:rPr>
        <w:t>Este proyecto ha demostrado lo primero y no ha medido lo segundo.</w:t>
      </w:r>
      <w:r>
        <w:rPr>
          <w:b w:val="0"/>
          <w:i/>
          <w:color w:val="131B2E"/>
          <w:sz w:val="18"/>
        </w:rPr>
        <w:t xml:space="preserve"> Cerrarlo cuesta dos horas: una sesión con 5–8 evaluadores usando el instrumento ya preparado.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5.1  </w:t>
      </w:r>
      <w:r>
        <w:rPr>
          <w:b/>
          <w:color w:val="131B2E"/>
          <w:sz w:val="28"/>
        </w:rPr>
        <w:t>Validez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Análisis de sensibilidad.</w:t>
      </w:r>
      <w:r>
        <w:rPr>
          <w:b w:val="0"/>
          <w:i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i w:val="0"/>
          <w:color w:val="131B2E"/>
          <w:sz w:val="20"/>
        </w:rPr>
        <w:t>solo sobre los modelos descartados</w:t>
      </w:r>
      <w:r>
        <w:rPr>
          <w:b w:val="0"/>
          <w:i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Selección del modelo sin contaminar la prueba.</w:t>
      </w:r>
      <w:r>
        <w:rPr>
          <w:b w:val="0"/>
          <w:i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i w:val="0"/>
          <w:color w:val="131B2E"/>
          <w:sz w:val="20"/>
        </w:rPr>
        <w:t>88.3 %</w:t>
      </w:r>
      <w:r>
        <w:rPr>
          <w:b w:val="0"/>
          <w:i w:val="0"/>
          <w:color w:val="131B2E"/>
          <w:sz w:val="20"/>
        </w:rPr>
        <w:t xml:space="preserve"> de detección es el máximo entre </w:t>
      </w:r>
      <w:r>
        <w:rPr>
          <w:b/>
          <w:i w:val="0"/>
          <w:color w:val="131B2E"/>
          <w:sz w:val="20"/>
        </w:rPr>
        <w:t>7 candidatos</w:t>
      </w:r>
      <w:r>
        <w:rPr>
          <w:b w:val="0"/>
          <w:i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Pruebas de significancia estadística.</w:t>
      </w:r>
      <w:r>
        <w:rPr>
          <w:b w:val="0"/>
          <w:i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i w:val="0"/>
          <w:color w:val="131B2E"/>
          <w:sz w:val="20"/>
        </w:rPr>
        <w:t>seis del OCSVM son significativas sin excepción</w:t>
      </w:r>
      <w:r>
        <w:rPr>
          <w:b w:val="0"/>
          <w:i w:val="0"/>
          <w:color w:val="131B2E"/>
          <w:sz w:val="20"/>
        </w:rPr>
        <w:t xml:space="preserve">; en cambio </w:t>
      </w:r>
      <w:r>
        <w:rPr>
          <w:b/>
          <w:i w:val="0"/>
          <w:color w:val="131B2E"/>
          <w:sz w:val="20"/>
        </w:rPr>
        <w:t>ninguna diferencia de falso positivo lo es</w:t>
      </w:r>
      <w:r>
        <w:rPr>
          <w:b w:val="0"/>
          <w:i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5.2  </w:t>
      </w:r>
      <w:r>
        <w:rPr>
          <w:b/>
          <w:color w:val="131B2E"/>
          <w:sz w:val="28"/>
        </w:rPr>
        <w:t>Validez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 midió el sistema completo en operación real</w:t>
      </w:r>
      <w:r>
        <w:rPr>
          <w:b w:val="0"/>
          <w:i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Ataques genuinos</w:t>
      </w:r>
      <w:r>
        <w:rPr>
          <w:b w:val="0"/>
          <w:i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Se declaró la procedencia heterogénea</w:t>
      </w:r>
      <w:r>
        <w:rPr>
          <w:b w:val="0"/>
          <w:i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frente a </w:t>
      </w:r>
      <w:r>
        <w:rPr>
          <w:b/>
          <w:i w:val="0"/>
          <w:color w:val="131B2E"/>
          <w:sz w:val="20"/>
        </w:rPr>
        <w:t>83,3 %</w:t>
      </w:r>
      <w:r>
        <w:rPr>
          <w:b w:val="0"/>
          <w:i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25,81 %  (16/62)</w:t>
            </w:r>
          </w:p>
        </w:tc>
        <w:tc>
          <w:tcPr>
            <w:tcW w:type="dxa" w:w="283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22,97 %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90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Intervalos de Wilson descriptivos; las ventanas comparten episodio e historia, por lo que el gráfico no prueba por sí solo una diferencia inferencial.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Se reprodujo </w:t>
            </w:r>
            <w:r>
              <w:rPr>
                <w:b/>
                <w:i w:val="0"/>
                <w:color w:val="131B2E"/>
                <w:sz w:val="19"/>
              </w:rPr>
              <w:t>sin contaminación entre pruebas</w:t>
            </w:r>
            <w:r>
              <w:rPr>
                <w:b w:val="0"/>
                <w:i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i w:val="0"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i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i w:val="0"/>
                <w:color w:val="131B2E"/>
                <w:sz w:val="19"/>
              </w:rPr>
              <w:t>0,0014 puntos</w:t>
            </w:r>
            <w:r>
              <w:rPr>
                <w:b w:val="0"/>
                <w:i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Partición por sesiones independientes.</w:t>
      </w:r>
      <w:r>
        <w:rPr>
          <w:b w:val="0"/>
          <w:i w:val="0"/>
          <w:color w:val="131B2E"/>
          <w:sz w:val="20"/>
        </w:rPr>
        <w:t xml:space="preserve"> La división se hizo por índice de repetición, por lo que los </w:t>
      </w:r>
      <w:r>
        <w:rPr>
          <w:b/>
          <w:i w:val="0"/>
          <w:color w:val="131B2E"/>
          <w:sz w:val="20"/>
        </w:rPr>
        <w:t>44 perfiles</w:t>
      </w:r>
      <w:r>
        <w:rPr>
          <w:b w:val="0"/>
          <w:i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Jornada de validación temporal externa.</w:t>
      </w:r>
      <w:r>
        <w:rPr>
          <w:b w:val="0"/>
          <w:i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Diversidad de escenarios.</w:t>
      </w:r>
      <w:r>
        <w:rPr>
          <w:b w:val="0"/>
          <w:i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6.  </w:t>
      </w:r>
      <w:r>
        <w:rPr>
          <w:b/>
          <w:color w:val="131B2E"/>
          <w:sz w:val="28"/>
        </w:rPr>
        <w:t>Checklist integrador de la Sesión 02</w:t>
      </w:r>
    </w:p>
    <w:p>
      <w:pPr>
        <w:spacing w:after="120"/>
        <w:jc w:val="both"/>
      </w:pPr>
      <w:r>
        <w:rPr>
          <w:b w:val="0"/>
          <w:i w:val="0"/>
          <w:color w:val="131B2E"/>
          <w:sz w:val="19"/>
        </w:rPr>
        <w:t xml:space="preserve">Los seis puntos que la sesión pide verificar </w:t>
      </w:r>
      <w:r>
        <w:rPr>
          <w:b/>
          <w:i w:val="0"/>
          <w:color w:val="131B2E"/>
          <w:sz w:val="19"/>
        </w:rPr>
        <w:t>antes de reportar resultados</w:t>
      </w:r>
      <w:r>
        <w:rPr>
          <w:b w:val="0"/>
          <w:i w:val="0"/>
          <w:color w:val="131B2E"/>
          <w:sz w:val="19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175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Punto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4706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Dónde está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Confiabilidad estadística reportada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Sección 2: determinismo, test-retest y estabilidad del umbral</w:t>
            </w:r>
          </w:p>
        </w:tc>
      </w:tr>
      <w:tr>
        <w:tc>
          <w:tcPr>
            <w:tcW w:type="dxa" w:w="317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Método de validación declarado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47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Sección 2: validación cruzada agrupada y bootstrap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Datos y código disponibles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Sección 3</w:t>
            </w:r>
          </w:p>
        </w:tc>
      </w:tr>
      <w:tr>
        <w:tc>
          <w:tcPr>
            <w:tcW w:type="dxa" w:w="317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Entorno, dependencias y semillas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Cumple</w:t>
            </w:r>
          </w:p>
        </w:tc>
        <w:tc>
          <w:tcPr>
            <w:tcW w:type="dxa" w:w="47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Sección 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Pertinencia validada con usuarios reales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No cumple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 xml:space="preserve">Sección 4: </w:t>
            </w:r>
            <w:r>
              <w:rPr>
                <w:rFonts w:ascii="Calibri" w:hAnsi="Calibri"/>
                <w:b/>
                <w:i w:val="0"/>
                <w:color w:val="131B2E"/>
                <w:sz w:val="19"/>
              </w:rPr>
              <w:t>el único punto sin evidencia</w:t>
            </w:r>
          </w:p>
        </w:tc>
      </w:tr>
      <w:tr>
        <w:tc>
          <w:tcPr>
            <w:tcW w:type="dxa" w:w="3175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Trazabilidad de requisitos verificada</w:t>
            </w:r>
          </w:p>
        </w:tc>
        <w:tc>
          <w:tcPr>
            <w:tcW w:type="dxa" w:w="147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Parcial</w:t>
            </w:r>
          </w:p>
        </w:tc>
        <w:tc>
          <w:tcPr>
            <w:tcW w:type="dxa" w:w="4706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Sección 4: matriz abierta</w:t>
            </w:r>
          </w:p>
        </w:tc>
      </w:tr>
    </w:tbl>
    <w:p>
      <w:pPr>
        <w:spacing w:after="120"/>
        <w:jc w:val="both"/>
      </w:pPr>
      <w:r>
        <w:rPr>
          <w:b/>
          <w:i/>
          <w:color w:val="131B2E"/>
          <w:sz w:val="18"/>
        </w:rPr>
        <w:t>Cinco de seis cumplidos.</w:t>
      </w:r>
      <w:r>
        <w:rPr>
          <w:b w:val="0"/>
          <w:i/>
          <w:color w:val="131B2E"/>
          <w:sz w:val="18"/>
        </w:rPr>
        <w:t xml:space="preserve"> El que falta es el mismo que la ficha de auditoría penaliza y que el plan de validación agenda para el 9 de septiembre.</w:t>
      </w:r>
    </w:p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7.  </w:t>
      </w:r>
      <w:r>
        <w:rPr>
          <w:b/>
          <w:color w:val="131B2E"/>
          <w:sz w:val="28"/>
        </w:rPr>
        <w:t>Qué falta y cómo se abordará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EEF3FA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i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2F6FC"/>
          </w:tcPr>
          <w:p>
            <w:r/>
            <w:r>
              <w:rPr>
                <w:b/>
                <w:color w:val="1F4E79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i w:val="0"/>
                <w:color w:val="131B2E"/>
                <w:sz w:val="19"/>
              </w:rPr>
              <w:t xml:space="preserve">Lo pendiente de </w:t>
            </w:r>
            <w:r>
              <w:rPr>
                <w:b/>
                <w:i w:val="0"/>
                <w:color w:val="131B2E"/>
                <w:sz w:val="19"/>
              </w:rPr>
              <w:t>horas y días</w:t>
            </w:r>
            <w:r>
              <w:rPr>
                <w:b w:val="0"/>
                <w:i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i w:val="0"/>
                <w:color w:val="131B2E"/>
                <w:sz w:val="19"/>
              </w:rPr>
              <w:t>semanas</w:t>
            </w:r>
            <w:r>
              <w:rPr>
                <w:b w:val="0"/>
                <w:i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1F4E79"/>
        </w:pBdr>
      </w:pPr>
      <w:r>
        <w:rPr>
          <w:b/>
          <w:color w:val="1F4E79"/>
          <w:sz w:val="30"/>
        </w:rPr>
        <w:t xml:space="preserve">8.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1F4E79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Campbell, D. T., &amp; Stanley, J. C. (1963).</w:t>
      </w:r>
      <w:r>
        <w:rPr>
          <w:b w:val="0"/>
          <w:i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Wilson, E. B. (1927).</w:t>
      </w:r>
      <w:r>
        <w:rPr>
          <w:b w:val="0"/>
          <w:i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Cronbach, L. J. (1951).</w:t>
      </w:r>
      <w:r>
        <w:rPr>
          <w:b w:val="0"/>
          <w:i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Peng, R. D. (2011).</w:t>
      </w:r>
      <w:r>
        <w:rPr>
          <w:b w:val="0"/>
          <w:i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Kapoor, S., &amp; Narayanan, A. (2023).</w:t>
      </w:r>
      <w:r>
        <w:rPr>
          <w:b w:val="0"/>
          <w:i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i w:val="0"/>
          <w:color w:val="131B2E"/>
          <w:sz w:val="20"/>
        </w:rPr>
        <w:t>ISO/IEC 25010:2011.</w:t>
      </w:r>
      <w:r>
        <w:rPr>
          <w:b w:val="0"/>
          <w:i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 de validación y confiabilidad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Análisis completo con las 11 figuras y los 7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Datasheet del corpus: procedencia, calidad y límites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cruzada por episodio y banda del umbral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marksato13/VF-Sistema-Open-Source-para-la-Deteccion-Temprana-de-Comportamientos-Anomalos-en-Redes-de-Datos/blob/main/docs/entregables/02-validacion-y-confiabilidad/informe-validacion-confiabilidad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dataset/DATASHEET_MULTILAYER_V2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9-validacion-cruzada-y-estabilidad.md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