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before="220" w:after="80"/>
      </w:pPr>
      <w:r>
        <w:rPr>
          <w:b/>
          <w:color w:val="1F4E79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>, validado sobre tráfico real de laboratorio. Toda cifra procede de artefactos verificables; ninguna se transcribe a mano.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evaluado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1F4E79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4,71 % [2,8–7,9] frente a 22,97 % [14,9–33,7]. Son intervalos descriptivos por ventana: las ventanas comparten episodio e historia.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interna, no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Hay 5 pliegues agrupados por episodio normal y bootstrap por episodio (B = 1 000; CV del umbral 4,10 %), pero se reutilizan las mismas anomalías y no existe jornada externa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513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5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1F4E79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y bootstrap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Variación interna del modelo y del umbral; no sustituyen una evaluación externa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La fecha que ordena el cronograma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octubre, y el cargo lo asume la Universidad Peruana Unión. Con la mediana medida de la revista —41 días a la primera decisión, 158 hasta publicar—, un envío el 28 de septiembre proyecta decisión hacia el 8 de noviembre de 2026 y publicación hacia marzo de 2027. Todo lo que alimenta la sección de resultados se cierra antes de esa fecha; lo demás va después.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351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aborda</w:t>
            </w:r>
          </w:p>
        </w:tc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la selección posterior en la tesis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Párrafo en metodología, enlazado a la *model card*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vie 4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 (SUS)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Sesión de 2 h con 5–8 evaluadores; instrumento ya preparado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Juicio experto (3 evaluadores)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Rúbrica de pertinencia, ya con los resultados del SUS a la vista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23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Escenarios legítimos faltantes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Envío del artículo a IJIES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Manuscrito en `IJIES_Format.docx`, 8 a 10 páginas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lun 28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Recalibrar con tráfico pesado y repetir F6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Reentrenar con `iperf-tcp 200M` como normalidad; repetir las 29 corridas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10 oct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*Holdout* temporal externo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completa en fecha distinta, sin reutilizar episodios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24 oct</w:t>
            </w:r>
            <w:r>
              <w:rPr>
                <w:b w:val="0"/>
                <w:color w:val="131B2E"/>
                <w:sz w:val="16"/>
              </w:rPr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>: cero en la ficha de auditoría, cero en el eje de pertinencia y `D-18`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4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5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6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7"/>
      <w:headerReference w:type="default" r:id="rId18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5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6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7" Type="http://schemas.openxmlformats.org/officeDocument/2006/relationships/footer" Target="footer1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