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Cobertura de Scopus confirmada el 02/09/2026 en la ficha de fuente: «Years currently covered by Scopus: from 2008 to 2026»</w:t>
            </w:r>
            <w:r>
              <w:rPr>
                <w:b w:val="0"/>
                <w:color w:val="131B2E"/>
                <w:sz w:val="15"/>
              </w:rPr>
              <w:t>, sin aviso de descontinuación. Era la reserva más importante del expediente y queda cerrada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(alcance)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artículo. Puntuado con la evidencia de los 21 artículos semilla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(cuartil)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percentil, cuartil SJR y h5-index de Google Scholar Metrics, identificados por separado y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(tiempo)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real medido,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(APC)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quién lo cubre,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(requisitos)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extensión exigida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(alcance)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(cuartil)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(tiempo)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(APC)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(requisitos)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69.0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Filtro de acceso abierto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>Requisito del autor, 01/09/2026: si no es de acceso abierto, se descarta. Tercer filtro de entrada — no toca ningún puntaje, decide quién sigue en carrera. Medido con OpenAlex sobre todo lo publicado desde el 1 de enero de 2025, más una descarga real de PDF sin sesión iniciada.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Cerrados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Licencia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Veredicto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0/682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BY-SA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0/2156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0/58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75/1098 (6.8 %)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ninguna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34/400 (8.5 %)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81/521 (15.5 %)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79/101 (78.2 %)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89/101 (88.1 %)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648/714 (90.8 %)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Caen tres: IJIT, ISJ e ICS. Las tres eran gratuitas para el autor por la vía de suscripción, y eso las hacía atractivas en el criterio de costo. El filtro deja a la vista lo que ese ahorro costaba: entre el 78 % y el 91 % de sus artículos no los puede leer nadie sin suscripción institucional. Gratis para el autor y abierto para el lector son cosas distintas.</w:t>
      </w:r>
    </w:p>
    <w:p>
      <w:pPr>
        <w:spacing w:before="180" w:after="60"/>
      </w:pPr>
      <w:r>
        <w:rPr>
          <w:b/>
          <w:color w:val="1F4E79"/>
          <w:sz w:val="23"/>
        </w:rPr>
        <w:t>6 · Plan A, B, C y D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>Los cuatro planes los fijó el autor el 01/09/2026 entre las candidatas que superan los tres filtros. No se derivan del puntaje: se derivan de una decisión, y el puntaje queda al lado para que la diferencia se pueda discutir.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9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Acceso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En la lista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Mayor volumen del conjunto abierto (556 al año), APC más bajo (USD 300) y publicación 2 meses tras la aceptación. Reservas: confirmar Scopus, y su acceso abierto es bronce sin licencia, el más débil de los cuatro.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acceso abierto más sólido de los cuatro: diamante, CC BY-SA, cero cerrados y declaración explícita en portada. Segundo mejor puntaje absoluto y 377 artículos en 2025. Su única objeción es administrativa: está en la lista.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Encaje idéntico al de BEEI, ciclo rápido y licencia CC BY. Menor visibilidad (CiteScore 2,8 frente a 4,2) y APC del doble. También está en la lista.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D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Único Q3 verificado, 305 artículos al año, licencia CC BY y PDF de descarga libre comprobada. En contra: APC de USD 850, 6-12 páginas y ningún plazo de revisión declarado.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Dos tensiones que el autor asume. (1) El Plan A es el acceso abierto más débil de los cuatro: IJIES encabeza por puntaje, volumen y precio, pero su acceso es bronce sin licencia y fuera de DOAJ; BEEI, el Plan C, es el más sólido en esto. Si se busca acceso abierto en sentido estricto, el orden se invertiría. (2) Los Planes C y D figuran en la lista de control de la coordinación, y volver a incluirlos depende de una pregunta sin responder: si la lista inhabilita la revista o solo registra lo ya publicado.</w:t>
      </w:r>
    </w:p>
    <w:p>
      <w:pPr>
        <w:spacing w:before="180" w:after="60"/>
      </w:pPr>
      <w:r>
        <w:rPr>
          <w:b/>
          <w:color w:val="1F4E79"/>
          <w:sz w:val="23"/>
        </w:rPr>
        <w:t>7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la puntuación más alta de las nueve, por delante de IJSSE (75.5). Es además la única de las cuatro elegidas sin objeción administrativa pendiente.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542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