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22,97 % [14,9–33,7].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11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1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Pendiente, con plazo realista.</w:t>
      </w:r>
      <w:r>
        <w:rPr>
          <w:b w:val="0"/>
          <w:i w:val="0"/>
          <w:color w:val="131B2E"/>
          <w:sz w:val="18"/>
        </w:rPr>
        <w:t xml:space="preserve"> El orden responde a coste, no a comodidad: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Plazo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385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ese orden</w:t>
            </w:r>
          </w:p>
        </w:tc>
      </w:tr>
      <w:tr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Horas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Cerrar la matriz de requisitos y revisar la coherencia de todos los entregables derivados</w:t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Usan evidencia ya publicada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Días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usuarios: SUS con 5–8 evaluadores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 el único cero absoluto que queda; una sesión lo convierte en evidencia</w:t>
            </w:r>
          </w:p>
        </w:tc>
      </w:tr>
      <w:tr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Semanas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Recalibrar incluyendo tráfico legítimo pesado y repetir la validación operativa</w:t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Única solución real al falso positivo del 23–26 %. Se declara como límite, no se simula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